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57C5F" w14:textId="3A15D0D6" w:rsidR="00AE4611" w:rsidRDefault="00AE4611" w:rsidP="00242F7C">
      <w:pPr>
        <w:keepNext/>
        <w:keepLines/>
        <w:spacing w:before="120"/>
        <w:ind w:left="8991" w:firstLine="81"/>
        <w:outlineLvl w:val="1"/>
        <w:rPr>
          <w:rFonts w:asciiTheme="minorHAnsi" w:eastAsiaTheme="majorEastAsia" w:hAnsiTheme="minorHAnsi" w:cstheme="minorHAnsi"/>
          <w:sz w:val="21"/>
          <w:szCs w:val="21"/>
        </w:rPr>
      </w:pPr>
      <w:bookmarkStart w:id="0" w:name="_Ref39586171"/>
      <w:bookmarkStart w:id="1" w:name="_Ref39673580"/>
      <w:bookmarkStart w:id="2" w:name="_Ref39674283"/>
      <w:bookmarkStart w:id="3" w:name="_Toc106223228"/>
      <w:r w:rsidRPr="00146749">
        <w:rPr>
          <w:rFonts w:asciiTheme="minorHAnsi" w:eastAsiaTheme="majorEastAsia" w:hAnsiTheme="minorHAnsi" w:cstheme="minorHAnsi"/>
          <w:sz w:val="21"/>
          <w:szCs w:val="21"/>
        </w:rPr>
        <w:t xml:space="preserve">Pirkimo sąlygų </w:t>
      </w:r>
      <w:r w:rsidR="00B50D49" w:rsidRPr="00146749">
        <w:rPr>
          <w:rFonts w:asciiTheme="minorHAnsi" w:eastAsiaTheme="majorEastAsia" w:hAnsiTheme="minorHAnsi" w:cstheme="minorHAnsi"/>
          <w:sz w:val="21"/>
          <w:szCs w:val="21"/>
        </w:rPr>
        <w:t>2</w:t>
      </w:r>
      <w:r w:rsidRPr="00146749">
        <w:rPr>
          <w:rFonts w:asciiTheme="minorHAnsi" w:eastAsiaTheme="majorEastAsia" w:hAnsiTheme="minorHAnsi" w:cstheme="minorHAnsi"/>
          <w:sz w:val="21"/>
          <w:szCs w:val="21"/>
        </w:rPr>
        <w:t xml:space="preserve"> priedas „</w:t>
      </w:r>
      <w:r w:rsidR="004B1B3A" w:rsidRPr="00146749">
        <w:rPr>
          <w:rFonts w:asciiTheme="minorHAnsi" w:eastAsiaTheme="majorEastAsia" w:hAnsiTheme="minorHAnsi" w:cstheme="minorHAnsi"/>
          <w:sz w:val="21"/>
          <w:szCs w:val="21"/>
        </w:rPr>
        <w:t>Techninė specifikacija</w:t>
      </w:r>
      <w:r w:rsidRPr="00146749">
        <w:rPr>
          <w:rFonts w:asciiTheme="minorHAnsi" w:eastAsiaTheme="majorEastAsia" w:hAnsiTheme="minorHAnsi" w:cstheme="minorHAnsi"/>
          <w:sz w:val="21"/>
          <w:szCs w:val="21"/>
        </w:rPr>
        <w:t>“</w:t>
      </w:r>
      <w:bookmarkEnd w:id="0"/>
      <w:bookmarkEnd w:id="1"/>
      <w:bookmarkEnd w:id="2"/>
      <w:bookmarkEnd w:id="3"/>
    </w:p>
    <w:p w14:paraId="43C54C5A" w14:textId="20891EEE" w:rsidR="00550FAF" w:rsidRPr="00146749" w:rsidRDefault="00550FAF" w:rsidP="00955922">
      <w:pPr>
        <w:jc w:val="center"/>
        <w:outlineLvl w:val="1"/>
        <w:rPr>
          <w:rFonts w:asciiTheme="minorHAnsi" w:eastAsia="Arial Unicode MS" w:hAnsiTheme="minorHAnsi" w:cstheme="minorHAnsi"/>
          <w:b/>
          <w:bCs/>
          <w:caps/>
          <w:color w:val="000000"/>
          <w:spacing w:val="4"/>
          <w:sz w:val="22"/>
          <w:szCs w:val="22"/>
          <w:lang w:eastAsia="en-US"/>
        </w:rPr>
      </w:pPr>
    </w:p>
    <w:p w14:paraId="47745060" w14:textId="543C4A64" w:rsidR="004B1B3A" w:rsidRPr="00146749" w:rsidRDefault="004B1B3A" w:rsidP="00955922">
      <w:pPr>
        <w:jc w:val="center"/>
        <w:outlineLvl w:val="1"/>
        <w:rPr>
          <w:rFonts w:asciiTheme="minorHAnsi" w:eastAsia="Arial Unicode MS" w:hAnsiTheme="minorHAnsi" w:cstheme="minorHAnsi"/>
          <w:b/>
          <w:bCs/>
          <w:caps/>
          <w:color w:val="000000"/>
          <w:spacing w:val="4"/>
          <w:sz w:val="22"/>
          <w:szCs w:val="22"/>
          <w:lang w:eastAsia="en-US"/>
        </w:rPr>
      </w:pPr>
    </w:p>
    <w:p w14:paraId="54284DC9" w14:textId="77777777" w:rsidR="00E90065" w:rsidRPr="0084414B" w:rsidRDefault="00E90065" w:rsidP="00E90065">
      <w:pPr>
        <w:jc w:val="center"/>
        <w:outlineLvl w:val="1"/>
        <w:rPr>
          <w:rFonts w:asciiTheme="minorHAnsi" w:eastAsia="Arial Unicode MS" w:hAnsiTheme="minorHAnsi" w:cstheme="minorHAnsi"/>
          <w:b/>
          <w:bCs/>
          <w:caps/>
          <w:color w:val="000000"/>
          <w:spacing w:val="4"/>
          <w:sz w:val="22"/>
          <w:szCs w:val="22"/>
          <w:lang w:eastAsia="en-US"/>
        </w:rPr>
      </w:pPr>
    </w:p>
    <w:p w14:paraId="293D0352" w14:textId="733282BD" w:rsidR="00E90065" w:rsidRPr="0084414B" w:rsidRDefault="00E90065" w:rsidP="00E90065">
      <w:pPr>
        <w:jc w:val="center"/>
        <w:rPr>
          <w:rFonts w:asciiTheme="minorHAnsi" w:eastAsiaTheme="minorEastAsia" w:hAnsiTheme="minorHAnsi" w:cstheme="minorHAnsi"/>
          <w:b/>
          <w:sz w:val="28"/>
          <w:szCs w:val="28"/>
        </w:rPr>
      </w:pPr>
      <w:r w:rsidRPr="0084414B">
        <w:rPr>
          <w:rFonts w:asciiTheme="minorHAnsi" w:eastAsiaTheme="minorEastAsia" w:hAnsiTheme="minorHAnsi" w:cstheme="minorHAnsi"/>
          <w:b/>
          <w:sz w:val="28"/>
          <w:szCs w:val="28"/>
        </w:rPr>
        <w:t>TECHNINĖ SPECIFIKACIJA</w:t>
      </w:r>
    </w:p>
    <w:p w14:paraId="73CE70C3" w14:textId="77777777" w:rsidR="002D5120" w:rsidRPr="0084414B" w:rsidRDefault="002D5120" w:rsidP="00E90065">
      <w:pPr>
        <w:jc w:val="center"/>
        <w:rPr>
          <w:rFonts w:asciiTheme="minorHAnsi" w:eastAsiaTheme="minorEastAsia" w:hAnsiTheme="minorHAnsi" w:cstheme="minorHAnsi"/>
          <w:b/>
          <w:sz w:val="28"/>
          <w:szCs w:val="28"/>
        </w:rPr>
      </w:pPr>
    </w:p>
    <w:p w14:paraId="071BE29F" w14:textId="77777777" w:rsidR="00A10BBB" w:rsidRPr="0084414B" w:rsidRDefault="00A10BBB" w:rsidP="00A10BBB">
      <w:pPr>
        <w:keepNext/>
        <w:numPr>
          <w:ilvl w:val="0"/>
          <w:numId w:val="25"/>
        </w:numPr>
        <w:spacing w:after="120"/>
        <w:jc w:val="center"/>
        <w:outlineLvl w:val="0"/>
        <w:rPr>
          <w:rFonts w:asciiTheme="minorHAnsi" w:hAnsiTheme="minorHAnsi" w:cstheme="minorHAnsi"/>
          <w:b/>
          <w:snapToGrid w:val="0"/>
          <w:kern w:val="28"/>
          <w:szCs w:val="24"/>
        </w:rPr>
      </w:pPr>
      <w:r w:rsidRPr="0084414B">
        <w:rPr>
          <w:rFonts w:asciiTheme="minorHAnsi" w:hAnsiTheme="minorHAnsi" w:cstheme="minorHAnsi"/>
          <w:b/>
          <w:snapToGrid w:val="0"/>
          <w:kern w:val="28"/>
          <w:szCs w:val="24"/>
        </w:rPr>
        <w:t>PIRKIMO OBJEKTAS</w:t>
      </w:r>
    </w:p>
    <w:p w14:paraId="53D196E5" w14:textId="77777777" w:rsidR="00A10BBB" w:rsidRPr="0084414B" w:rsidRDefault="00A10BBB" w:rsidP="00A10BBB">
      <w:pPr>
        <w:numPr>
          <w:ilvl w:val="1"/>
          <w:numId w:val="26"/>
        </w:numPr>
        <w:tabs>
          <w:tab w:val="left" w:pos="1276"/>
        </w:tabs>
        <w:ind w:left="0" w:hanging="426"/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Mykolo Romerio universitetas (toliau – Universitetas, Perkančioji organizacija) siekia išsinuomoti kibernetinės saugos priemones:</w:t>
      </w:r>
    </w:p>
    <w:p w14:paraId="2A96C4AE" w14:textId="22D1D64C" w:rsidR="00A10BBB" w:rsidRPr="0084414B" w:rsidRDefault="00A10BBB" w:rsidP="00A10BBB">
      <w:pPr>
        <w:numPr>
          <w:ilvl w:val="2"/>
          <w:numId w:val="26"/>
        </w:numPr>
        <w:tabs>
          <w:tab w:val="left" w:pos="709"/>
        </w:tabs>
        <w:ind w:hanging="2280"/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Microsoft 365 produktyvumo debesies apsaugos sprendimas – 400 licencijų</w:t>
      </w:r>
      <w:r w:rsidR="0084414B" w:rsidRPr="0084414B">
        <w:rPr>
          <w:rFonts w:asciiTheme="minorHAnsi" w:hAnsiTheme="minorHAnsi" w:cstheme="minorHAnsi"/>
          <w:szCs w:val="24"/>
        </w:rPr>
        <w:t>.</w:t>
      </w:r>
    </w:p>
    <w:p w14:paraId="750419DB" w14:textId="6E1629EB" w:rsidR="00A10BBB" w:rsidRPr="0084414B" w:rsidRDefault="00A10BBB" w:rsidP="00A10BBB">
      <w:pPr>
        <w:numPr>
          <w:ilvl w:val="2"/>
          <w:numId w:val="26"/>
        </w:numPr>
        <w:tabs>
          <w:tab w:val="left" w:pos="709"/>
        </w:tabs>
        <w:ind w:hanging="2280"/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Kompiuterinių darbo vietų saugos sprendimas – 300 licencijų</w:t>
      </w:r>
      <w:r w:rsidR="00FD37C0" w:rsidRPr="0084414B">
        <w:rPr>
          <w:rFonts w:asciiTheme="minorHAnsi" w:hAnsiTheme="minorHAnsi" w:cstheme="minorHAnsi"/>
          <w:szCs w:val="24"/>
        </w:rPr>
        <w:t>.</w:t>
      </w:r>
    </w:p>
    <w:p w14:paraId="415AF4D2" w14:textId="15E264BE" w:rsidR="00A10BBB" w:rsidRPr="0084414B" w:rsidRDefault="00A10BBB" w:rsidP="00A10BBB">
      <w:pPr>
        <w:numPr>
          <w:ilvl w:val="1"/>
          <w:numId w:val="26"/>
        </w:numPr>
        <w:tabs>
          <w:tab w:val="left" w:pos="1276"/>
        </w:tabs>
        <w:ind w:left="0" w:hanging="426"/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Reikalavimai tiekėjui:</w:t>
      </w:r>
    </w:p>
    <w:tbl>
      <w:tblPr>
        <w:tblStyle w:val="TableGrid4"/>
        <w:tblW w:w="14318" w:type="dxa"/>
        <w:tblInd w:w="-289" w:type="dxa"/>
        <w:tblLook w:val="04A0" w:firstRow="1" w:lastRow="0" w:firstColumn="1" w:lastColumn="0" w:noHBand="0" w:noVBand="1"/>
      </w:tblPr>
      <w:tblGrid>
        <w:gridCol w:w="7655"/>
        <w:gridCol w:w="6663"/>
      </w:tblGrid>
      <w:tr w:rsidR="00FB5B5A" w:rsidRPr="0084414B" w14:paraId="72218ACE" w14:textId="77777777" w:rsidTr="00AF6EEC">
        <w:trPr>
          <w:trHeight w:val="738"/>
        </w:trPr>
        <w:tc>
          <w:tcPr>
            <w:tcW w:w="7655" w:type="dxa"/>
            <w:vAlign w:val="center"/>
          </w:tcPr>
          <w:p w14:paraId="126CFB82" w14:textId="77777777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414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Reikalavimai</w:t>
            </w:r>
          </w:p>
        </w:tc>
        <w:tc>
          <w:tcPr>
            <w:tcW w:w="6663" w:type="dxa"/>
            <w:vAlign w:val="center"/>
          </w:tcPr>
          <w:p w14:paraId="79F9759A" w14:textId="77777777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414B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Įrodantys dokumentai</w:t>
            </w:r>
          </w:p>
        </w:tc>
      </w:tr>
      <w:tr w:rsidR="00FB5B5A" w:rsidRPr="0084414B" w14:paraId="389C07AB" w14:textId="77777777" w:rsidTr="00AF6EEC">
        <w:trPr>
          <w:trHeight w:val="1276"/>
        </w:trPr>
        <w:tc>
          <w:tcPr>
            <w:tcW w:w="7655" w:type="dxa"/>
          </w:tcPr>
          <w:p w14:paraId="0BD6F667" w14:textId="7AEF3C73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414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Tiekėjas yra autorizuotas siūlomų licencijų gamintojo partneris, distributorius ar kitas įgaliotas subjektas, turintis teisę nuomoti siūlomą programinę įrangą Lietuvoje.</w:t>
            </w:r>
          </w:p>
          <w:p w14:paraId="50B780BE" w14:textId="77777777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663" w:type="dxa"/>
          </w:tcPr>
          <w:p w14:paraId="2AD2E320" w14:textId="2D4CB7C3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414B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Siūlomų licencijų gamintojo sertifikatas arba kiti lygiaverčiai įrodymai, patvirtinantys, kad Tiekėjas yra gamintojo oficialus ir sertifikuotas atstovas, įgaliotas nuomoti Pirkėjui reikalingas licencijas.</w:t>
            </w:r>
          </w:p>
          <w:p w14:paraId="775FFDE4" w14:textId="0AE4945B" w:rsidR="002D5120" w:rsidRPr="0084414B" w:rsidRDefault="002D5120" w:rsidP="002D5120">
            <w:p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4414B">
              <w:rPr>
                <w:rFonts w:asciiTheme="minorHAnsi" w:eastAsiaTheme="minorHAnsi" w:hAnsiTheme="minorHAnsi" w:cstheme="minorHAnsi"/>
                <w:sz w:val="22"/>
                <w:szCs w:val="22"/>
                <w:u w:val="single"/>
                <w:lang w:eastAsia="en-US"/>
              </w:rPr>
              <w:t>Pateikiamos skaitmeninės dokumentų kopijos kartu su pasiūlymu.</w:t>
            </w:r>
          </w:p>
        </w:tc>
      </w:tr>
    </w:tbl>
    <w:p w14:paraId="293F8585" w14:textId="77777777" w:rsidR="00A10BBB" w:rsidRPr="0084414B" w:rsidRDefault="00A10BB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</w:p>
    <w:p w14:paraId="2635B66E" w14:textId="75A45A52" w:rsidR="00A10BBB" w:rsidRPr="0084414B" w:rsidRDefault="00A10BBB" w:rsidP="00A10BBB">
      <w:pPr>
        <w:numPr>
          <w:ilvl w:val="1"/>
          <w:numId w:val="26"/>
        </w:numPr>
        <w:tabs>
          <w:tab w:val="left" w:pos="1276"/>
        </w:tabs>
        <w:ind w:left="0" w:hanging="426"/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Aplinkosauginiai reikalavimai.</w:t>
      </w:r>
    </w:p>
    <w:p w14:paraId="41DA89AF" w14:textId="729A776B" w:rsidR="00A10BBB" w:rsidRPr="0084414B" w:rsidRDefault="00A10BB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1.</w:t>
      </w:r>
      <w:r w:rsidR="0084414B" w:rsidRPr="0084414B">
        <w:rPr>
          <w:rFonts w:asciiTheme="minorHAnsi" w:hAnsiTheme="minorHAnsi" w:cstheme="minorHAnsi"/>
          <w:szCs w:val="24"/>
        </w:rPr>
        <w:t>3</w:t>
      </w:r>
      <w:r w:rsidRPr="0084414B">
        <w:rPr>
          <w:rFonts w:asciiTheme="minorHAnsi" w:hAnsiTheme="minorHAnsi" w:cstheme="minorHAnsi"/>
          <w:szCs w:val="24"/>
        </w:rPr>
        <w:t>.1. Viešasis pirkimas laikomas žaliuoju, kadangi viešojo pirkimo objektas atitinka Aplinkos apsaugos kriterijų taikymo, vykdant žaliuosius pirkimus, tvarkos aprašo, patvirtinto Lietuvos Respublikos aplinkos ministro 2011 m. birželio 28 d įsakymu. Nr. D1-508 „Dėl Aplinkos apsaugos kriterijų taikymo, vykdant žaliuosius pirkimus, tvarkos aprašo patvirtinimo“, 4.4.3 papunktyje nurodytus reikalavimus: perkama tik nematerialaus pobūdžio (intelektinė) ar kitokia paslauga, nesusijusi su materialaus objekto sukūrimu, kurios teikimo metu nėra numatomas reikšmingas neigiamas poveikis aplinkai, nesukuriamas taršos šaltinis ir negeneruojamos atliekos.</w:t>
      </w:r>
    </w:p>
    <w:p w14:paraId="559888CE" w14:textId="2AE44307" w:rsidR="00A10BBB" w:rsidRPr="0084414B" w:rsidRDefault="00A10BB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</w:p>
    <w:p w14:paraId="11EC2076" w14:textId="2AA61C32" w:rsidR="0084414B" w:rsidRPr="0084414B" w:rsidRDefault="0084414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</w:p>
    <w:p w14:paraId="41946F06" w14:textId="77777777" w:rsidR="0084414B" w:rsidRPr="0084414B" w:rsidRDefault="0084414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</w:p>
    <w:p w14:paraId="568ACE16" w14:textId="77777777" w:rsidR="00A10BBB" w:rsidRPr="0084414B" w:rsidRDefault="00A10BBB" w:rsidP="00A10BBB">
      <w:pPr>
        <w:tabs>
          <w:tab w:val="left" w:pos="1276"/>
        </w:tabs>
        <w:jc w:val="both"/>
        <w:outlineLvl w:val="1"/>
        <w:rPr>
          <w:rFonts w:asciiTheme="minorHAnsi" w:hAnsiTheme="minorHAnsi" w:cstheme="minorHAnsi"/>
          <w:szCs w:val="24"/>
        </w:rPr>
      </w:pPr>
    </w:p>
    <w:p w14:paraId="51C463BA" w14:textId="77777777" w:rsidR="00A10BBB" w:rsidRPr="0084414B" w:rsidRDefault="00A10BBB" w:rsidP="00A10BBB">
      <w:pPr>
        <w:tabs>
          <w:tab w:val="left" w:pos="1276"/>
        </w:tabs>
        <w:ind w:left="720"/>
        <w:jc w:val="both"/>
        <w:outlineLvl w:val="1"/>
        <w:rPr>
          <w:rFonts w:asciiTheme="minorHAnsi" w:hAnsiTheme="minorHAnsi" w:cstheme="minorHAnsi"/>
        </w:rPr>
      </w:pPr>
    </w:p>
    <w:p w14:paraId="7632B520" w14:textId="5B10649C" w:rsidR="00A10BBB" w:rsidRDefault="00A10BBB" w:rsidP="00A10BBB">
      <w:pPr>
        <w:keepNext/>
        <w:numPr>
          <w:ilvl w:val="0"/>
          <w:numId w:val="25"/>
        </w:numPr>
        <w:spacing w:after="120"/>
        <w:jc w:val="center"/>
        <w:outlineLvl w:val="0"/>
        <w:rPr>
          <w:rFonts w:asciiTheme="minorHAnsi" w:hAnsiTheme="minorHAnsi" w:cstheme="minorHAnsi"/>
          <w:b/>
          <w:caps/>
          <w:snapToGrid w:val="0"/>
          <w:kern w:val="28"/>
          <w:szCs w:val="24"/>
        </w:rPr>
      </w:pPr>
      <w:r w:rsidRPr="0084414B">
        <w:rPr>
          <w:rFonts w:asciiTheme="minorHAnsi" w:hAnsiTheme="minorHAnsi" w:cstheme="minorHAnsi"/>
          <w:b/>
          <w:caps/>
          <w:snapToGrid w:val="0"/>
          <w:kern w:val="28"/>
          <w:szCs w:val="24"/>
        </w:rPr>
        <w:lastRenderedPageBreak/>
        <w:t>Techninė specifikacija</w:t>
      </w:r>
    </w:p>
    <w:p w14:paraId="1EF0884B" w14:textId="77777777" w:rsidR="00DD1D7A" w:rsidRPr="0084414B" w:rsidRDefault="00DD1D7A" w:rsidP="00DD1D7A">
      <w:pPr>
        <w:keepNext/>
        <w:spacing w:after="120"/>
        <w:ind w:left="720"/>
        <w:outlineLvl w:val="0"/>
        <w:rPr>
          <w:rFonts w:asciiTheme="minorHAnsi" w:hAnsiTheme="minorHAnsi" w:cstheme="minorHAnsi"/>
          <w:b/>
          <w:caps/>
          <w:snapToGrid w:val="0"/>
          <w:kern w:val="28"/>
          <w:szCs w:val="24"/>
        </w:rPr>
      </w:pPr>
      <w:bookmarkStart w:id="4" w:name="_GoBack"/>
      <w:bookmarkEnd w:id="4"/>
    </w:p>
    <w:p w14:paraId="125B95AC" w14:textId="7674103E" w:rsidR="00A10BBB" w:rsidRPr="0084414B" w:rsidRDefault="00A10BBB" w:rsidP="00A10BBB">
      <w:pPr>
        <w:ind w:left="-426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2.1 Microsoft 365 produktyvumo debesies apsaugos sprendimas</w:t>
      </w:r>
    </w:p>
    <w:p w14:paraId="5DA01D46" w14:textId="77777777" w:rsidR="0084414B" w:rsidRPr="0084414B" w:rsidRDefault="0084414B" w:rsidP="00A10BBB">
      <w:pPr>
        <w:ind w:left="-426"/>
        <w:rPr>
          <w:rFonts w:asciiTheme="minorHAnsi" w:hAnsiTheme="minorHAnsi" w:cstheme="minorHAnsi"/>
          <w:szCs w:val="24"/>
        </w:rPr>
      </w:pPr>
    </w:p>
    <w:tbl>
      <w:tblPr>
        <w:tblStyle w:val="TableGrid"/>
        <w:tblW w:w="14804" w:type="dxa"/>
        <w:tblInd w:w="-811" w:type="dxa"/>
        <w:tblLook w:val="04A0" w:firstRow="1" w:lastRow="0" w:firstColumn="1" w:lastColumn="0" w:noHBand="0" w:noVBand="1"/>
      </w:tblPr>
      <w:tblGrid>
        <w:gridCol w:w="1423"/>
        <w:gridCol w:w="1757"/>
        <w:gridCol w:w="3981"/>
        <w:gridCol w:w="3882"/>
        <w:gridCol w:w="3761"/>
      </w:tblGrid>
      <w:tr w:rsidR="00F54525" w:rsidRPr="0084414B" w14:paraId="68AB2985" w14:textId="401AE3F7" w:rsidTr="00F54525">
        <w:tc>
          <w:tcPr>
            <w:tcW w:w="1423" w:type="dxa"/>
            <w:vAlign w:val="center"/>
          </w:tcPr>
          <w:p w14:paraId="5E89A380" w14:textId="77777777" w:rsidR="00F54525" w:rsidRPr="0084414B" w:rsidRDefault="00F54525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Eil. Nr.</w:t>
            </w:r>
          </w:p>
        </w:tc>
        <w:tc>
          <w:tcPr>
            <w:tcW w:w="1757" w:type="dxa"/>
            <w:vAlign w:val="center"/>
          </w:tcPr>
          <w:p w14:paraId="6152524B" w14:textId="77777777" w:rsidR="00F54525" w:rsidRPr="0084414B" w:rsidRDefault="00F54525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Pavadinimas</w:t>
            </w:r>
          </w:p>
        </w:tc>
        <w:tc>
          <w:tcPr>
            <w:tcW w:w="3981" w:type="dxa"/>
            <w:vAlign w:val="center"/>
          </w:tcPr>
          <w:p w14:paraId="2E2BFD8F" w14:textId="77777777" w:rsidR="00F54525" w:rsidRPr="0084414B" w:rsidRDefault="00F54525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Reikalavimai</w:t>
            </w:r>
          </w:p>
        </w:tc>
        <w:tc>
          <w:tcPr>
            <w:tcW w:w="3882" w:type="dxa"/>
          </w:tcPr>
          <w:p w14:paraId="61F5DA46" w14:textId="77777777" w:rsidR="003560EA" w:rsidRDefault="003560EA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7D64577E" w14:textId="77777777" w:rsidR="003560EA" w:rsidRDefault="003560EA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1F61B4E7" w14:textId="77777777" w:rsidR="003560EA" w:rsidRDefault="003560EA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3B987C04" w14:textId="0D7D6A3F" w:rsidR="00F54525" w:rsidRPr="0084414B" w:rsidRDefault="00F54525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Siūloma reikšmė</w:t>
            </w:r>
          </w:p>
        </w:tc>
        <w:tc>
          <w:tcPr>
            <w:tcW w:w="3761" w:type="dxa"/>
          </w:tcPr>
          <w:p w14:paraId="3C6EDB73" w14:textId="18A18EE4" w:rsidR="00F54525" w:rsidRDefault="0090763B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0763B">
              <w:rPr>
                <w:rFonts w:asciiTheme="minorHAnsi" w:hAnsiTheme="minorHAnsi" w:cstheme="minorHAnsi"/>
                <w:b/>
                <w:szCs w:val="24"/>
              </w:rPr>
              <w:t>Atitiktį Techninės specifikacijos reikalavimams pagrindžiantys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dokumentai (</w:t>
            </w:r>
            <w:r w:rsidRPr="0090763B">
              <w:rPr>
                <w:rFonts w:asciiTheme="minorHAnsi" w:hAnsiTheme="minorHAnsi" w:cstheme="minorHAnsi"/>
                <w:b/>
                <w:szCs w:val="24"/>
              </w:rPr>
              <w:t>pvz. gamintojo prekės aprašymas arba internetinė nuoroda į gamintojo psl., arba kiti lygiaverčiai dokumentai)</w:t>
            </w:r>
            <w:r>
              <w:rPr>
                <w:rFonts w:asciiTheme="minorHAnsi" w:hAnsiTheme="minorHAnsi" w:cstheme="minorHAnsi"/>
                <w:b/>
                <w:szCs w:val="24"/>
              </w:rPr>
              <w:t>.</w:t>
            </w:r>
          </w:p>
          <w:p w14:paraId="62A84D86" w14:textId="6ED354F3" w:rsidR="0090763B" w:rsidRPr="0084414B" w:rsidRDefault="0090763B" w:rsidP="00AF6EEC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F54525" w:rsidRPr="0084414B" w14:paraId="188A86E2" w14:textId="6DB302DD" w:rsidTr="00F54525">
        <w:tc>
          <w:tcPr>
            <w:tcW w:w="1423" w:type="dxa"/>
            <w:vAlign w:val="center"/>
          </w:tcPr>
          <w:p w14:paraId="0964B39A" w14:textId="613301E7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774ADE14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Pirkimo objektas</w:t>
            </w:r>
          </w:p>
        </w:tc>
        <w:tc>
          <w:tcPr>
            <w:tcW w:w="3981" w:type="dxa"/>
            <w:vAlign w:val="center"/>
          </w:tcPr>
          <w:p w14:paraId="0E369BE1" w14:textId="5E3A9DD3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Perkančiosios organizacijos naudojamų Microsoft 365    licencijų , bei kitų debesų kompiuterija grįstu programinių sprendimų (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SaaS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 apsauga nuo kibernetinių atakų.</w:t>
            </w:r>
          </w:p>
          <w:p w14:paraId="6006CEE5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  <w:p w14:paraId="003BFDF6" w14:textId="025C8DC0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Sprendimas pagrįstas debesų kompiuterija, užtikrinant, kad duomenys bus laikomi infrastruktūroje Europos Sąjungoje. Gamintojo įsipareigojamas licencijų pasiekiamumas ne mažiau 99,9%.</w:t>
            </w:r>
          </w:p>
        </w:tc>
        <w:tc>
          <w:tcPr>
            <w:tcW w:w="3882" w:type="dxa"/>
          </w:tcPr>
          <w:p w14:paraId="4DDCAE3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0781DBCA" w14:textId="055393DE" w:rsidR="00F54525" w:rsidRPr="0084414B" w:rsidRDefault="00F54525" w:rsidP="00CA31C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61F7E2CC" w14:textId="1BD97F78" w:rsidTr="00F54525">
        <w:tc>
          <w:tcPr>
            <w:tcW w:w="1423" w:type="dxa"/>
            <w:vAlign w:val="center"/>
          </w:tcPr>
          <w:p w14:paraId="15654EA4" w14:textId="7CDCF08D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6A86B6CF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Licencijos tipas</w:t>
            </w:r>
          </w:p>
        </w:tc>
        <w:tc>
          <w:tcPr>
            <w:tcW w:w="3981" w:type="dxa"/>
            <w:vAlign w:val="center"/>
          </w:tcPr>
          <w:p w14:paraId="4D200F4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Licencijų nuoma (angl. </w:t>
            </w:r>
            <w:proofErr w:type="spellStart"/>
            <w:r w:rsidRPr="0084414B">
              <w:rPr>
                <w:rFonts w:asciiTheme="minorHAnsi" w:hAnsiTheme="minorHAnsi" w:cstheme="minorHAnsi"/>
                <w:i/>
                <w:szCs w:val="24"/>
              </w:rPr>
              <w:t>subscription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3882" w:type="dxa"/>
          </w:tcPr>
          <w:p w14:paraId="196CB3A9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01FBE315" w14:textId="61296559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39A1D97F" w14:textId="374350DB" w:rsidTr="00F54525">
        <w:tc>
          <w:tcPr>
            <w:tcW w:w="1423" w:type="dxa"/>
            <w:vAlign w:val="center"/>
          </w:tcPr>
          <w:p w14:paraId="7DC4A68A" w14:textId="4305582B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7C35F4B0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Kiekybiniai parametrai</w:t>
            </w:r>
          </w:p>
        </w:tc>
        <w:tc>
          <w:tcPr>
            <w:tcW w:w="3981" w:type="dxa"/>
            <w:vAlign w:val="center"/>
          </w:tcPr>
          <w:p w14:paraId="3CF90E2E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400 vartotojų</w:t>
            </w:r>
          </w:p>
        </w:tc>
        <w:tc>
          <w:tcPr>
            <w:tcW w:w="3882" w:type="dxa"/>
          </w:tcPr>
          <w:p w14:paraId="649DA4E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2C81AC31" w14:textId="0C21E153" w:rsidR="00F54525" w:rsidRPr="0084414B" w:rsidRDefault="00CB528E" w:rsidP="00CB528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</w:tr>
      <w:tr w:rsidR="00F54525" w:rsidRPr="0084414B" w14:paraId="0E2D8EE6" w14:textId="05B79AFD" w:rsidTr="00F54525">
        <w:tc>
          <w:tcPr>
            <w:tcW w:w="1423" w:type="dxa"/>
            <w:vAlign w:val="center"/>
          </w:tcPr>
          <w:p w14:paraId="1121AE5D" w14:textId="3F1448B5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542AD55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Apsaugomos platformos</w:t>
            </w:r>
          </w:p>
        </w:tc>
        <w:tc>
          <w:tcPr>
            <w:tcW w:w="3981" w:type="dxa"/>
            <w:vAlign w:val="center"/>
          </w:tcPr>
          <w:p w14:paraId="0A4837B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Microsoft 365:</w:t>
            </w:r>
          </w:p>
          <w:p w14:paraId="0F8F172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Exchange Online</w:t>
            </w:r>
          </w:p>
          <w:p w14:paraId="7F78875D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Teams</w:t>
            </w:r>
          </w:p>
          <w:p w14:paraId="4DEDE435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Sharepoint</w:t>
            </w:r>
            <w:proofErr w:type="spellEnd"/>
          </w:p>
          <w:p w14:paraId="3A58B4F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OneDrive</w:t>
            </w:r>
            <w:proofErr w:type="spellEnd"/>
          </w:p>
          <w:p w14:paraId="782387A0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  <w:p w14:paraId="0616F6CC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Kitų platformų apsauga:</w:t>
            </w:r>
          </w:p>
          <w:p w14:paraId="3A06925A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Google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Workspace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, įskaitant Google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Mail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, Google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Drive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.</w:t>
            </w:r>
          </w:p>
          <w:p w14:paraId="292960E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Dropbox</w:t>
            </w:r>
            <w:proofErr w:type="spellEnd"/>
          </w:p>
          <w:p w14:paraId="337798CC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Slack</w:t>
            </w:r>
            <w:proofErr w:type="spellEnd"/>
          </w:p>
        </w:tc>
        <w:tc>
          <w:tcPr>
            <w:tcW w:w="3882" w:type="dxa"/>
          </w:tcPr>
          <w:p w14:paraId="6A3EB544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6FC17E73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0996AB10" w14:textId="6D1CF7DD" w:rsidTr="00F54525">
        <w:tc>
          <w:tcPr>
            <w:tcW w:w="1423" w:type="dxa"/>
            <w:vAlign w:val="center"/>
          </w:tcPr>
          <w:p w14:paraId="04CFB74B" w14:textId="08360E7D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2FB77264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Integracija</w:t>
            </w:r>
          </w:p>
        </w:tc>
        <w:tc>
          <w:tcPr>
            <w:tcW w:w="3981" w:type="dxa"/>
            <w:vAlign w:val="center"/>
          </w:tcPr>
          <w:p w14:paraId="2BAC3E5F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Tiekėjas turi atlikti darbus reikalingus integruoti siūlomą sprendimą su:</w:t>
            </w:r>
          </w:p>
          <w:p w14:paraId="09E18666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Exchange Online</w:t>
            </w:r>
          </w:p>
          <w:p w14:paraId="2BEDC043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Teams</w:t>
            </w:r>
          </w:p>
          <w:p w14:paraId="5AF58F93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Sharepoint</w:t>
            </w:r>
            <w:proofErr w:type="spellEnd"/>
          </w:p>
          <w:p w14:paraId="1991CDF3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OneDrive</w:t>
            </w:r>
            <w:proofErr w:type="spellEnd"/>
          </w:p>
        </w:tc>
        <w:tc>
          <w:tcPr>
            <w:tcW w:w="3882" w:type="dxa"/>
          </w:tcPr>
          <w:p w14:paraId="25206863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0B5DBD51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5F46BAB1" w14:textId="263492C9" w:rsidTr="00F54525">
        <w:tc>
          <w:tcPr>
            <w:tcW w:w="1423" w:type="dxa"/>
            <w:vAlign w:val="center"/>
          </w:tcPr>
          <w:p w14:paraId="742D38BC" w14:textId="1CD696DF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05E67FC8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Sprendimo tipas</w:t>
            </w:r>
          </w:p>
        </w:tc>
        <w:tc>
          <w:tcPr>
            <w:tcW w:w="3981" w:type="dxa"/>
            <w:vAlign w:val="center"/>
          </w:tcPr>
          <w:p w14:paraId="76C0DC51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Sprendimas turi būti pagrįstas Microsoft 365 API sąsaja,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t.y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. funkcionalumas pasiekiamas be papildomų debesų aplikacijų diegimo.</w:t>
            </w:r>
          </w:p>
          <w:p w14:paraId="5FD10643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Sprendimas turi veikti be programinės ar fizinės įrangos diegimo Perkančiosios organizacijos infrastruktūroje.</w:t>
            </w:r>
          </w:p>
          <w:p w14:paraId="70EA157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El. pašto apsaugos diegimas turi vykti be Perkančiosios organizacijos domeno MX įrašų koregavimo.</w:t>
            </w:r>
          </w:p>
        </w:tc>
        <w:tc>
          <w:tcPr>
            <w:tcW w:w="3882" w:type="dxa"/>
          </w:tcPr>
          <w:p w14:paraId="388E239E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49EFF200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09F1A236" w14:textId="1523C0B2" w:rsidTr="00F54525">
        <w:tc>
          <w:tcPr>
            <w:tcW w:w="1423" w:type="dxa"/>
            <w:vAlign w:val="center"/>
          </w:tcPr>
          <w:p w14:paraId="3774FC55" w14:textId="6F66AB19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1E010F2A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El. pašto apsauga</w:t>
            </w:r>
          </w:p>
        </w:tc>
        <w:tc>
          <w:tcPr>
            <w:tcW w:w="3981" w:type="dxa"/>
            <w:vAlign w:val="center"/>
          </w:tcPr>
          <w:p w14:paraId="29AF8045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blokuojantis socialinės inžinerijos el. laiškus, įskaitant apgaulės (</w:t>
            </w:r>
            <w:proofErr w:type="spellStart"/>
            <w:r w:rsidRPr="0084414B">
              <w:rPr>
                <w:rFonts w:asciiTheme="minorHAnsi" w:hAnsiTheme="minorHAnsi" w:cstheme="minorHAnsi"/>
                <w:i/>
                <w:iCs/>
                <w:szCs w:val="24"/>
              </w:rPr>
              <w:t>phishing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 bei apsimetėlių laiškus. Patikra turi būti įgyvendinta naudojant dirbtinio intelekto modelius ir apimti:</w:t>
            </w:r>
          </w:p>
          <w:p w14:paraId="4CD8B1E1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el. pašto parametrų, tokių kaip DMARC, SPF patikrą;</w:t>
            </w:r>
          </w:p>
          <w:p w14:paraId="302CE446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siuntėjų apsimetančių organizacijos vadovais bei organizacijos partneriais aptikimas, lyginant siuntėjus su mašininio mokymosi pagrindu sukurta istorinės komunikacijos duomenų baze ir vidinių vartotojų duomenų baze;</w:t>
            </w:r>
          </w:p>
          <w:p w14:paraId="453E1B9C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siuntėjo reputacijos patikrą pagal gamintojo grėsmių duomenų bazę vertinimą, pagal domeno registracijos datą ir komunikacijos su Perkančiąja organizacija istoriją;</w:t>
            </w:r>
          </w:p>
          <w:p w14:paraId="7AB602C4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nuorodų el. laiškuose į retai lankomas ir abejotinos reputacijos arba žalingas svetainės aptikimą;</w:t>
            </w:r>
          </w:p>
          <w:p w14:paraId="339503E7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įtartinų laiškų temų bei turinio aptikimą naudojant natūralios kalbos apdorojimo mechanizmą, palaikantį lietuvių, anglų, vokiečių, prancūzų, lenkų kalbas;</w:t>
            </w:r>
          </w:p>
          <w:p w14:paraId="76C38191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istorinį gavėjo ar organizacijos susirašinėjimo su siuntėju ar siuntėjo domenu aktyvumą, aptinkant naujus, įtartinus siuntėjus;</w:t>
            </w:r>
          </w:p>
          <w:p w14:paraId="454E90E9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el. laiško siuntimo kelio vertinimą, identifikuojant laiškus kurių siuntimo kelias įtartinas;</w:t>
            </w:r>
          </w:p>
          <w:p w14:paraId="721A1096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optinį simbolių atpažinimo funkcionalumą, aptinkantį tekstą paveiksliuke.</w:t>
            </w:r>
          </w:p>
          <w:p w14:paraId="6CFB3171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atliekantis el. laiškų prisegtukų patikrą, naudojant žinomų žalingų failų duomenų bazę bei gamintojo grėsmių duomenų bazę.</w:t>
            </w:r>
          </w:p>
          <w:p w14:paraId="7BA4AC11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nežinomų failų patikra grėsmių detonavimo aplinkoje (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smėliadežėje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, angl. </w:t>
            </w:r>
            <w:proofErr w:type="spellStart"/>
            <w:r w:rsidRPr="0084414B">
              <w:rPr>
                <w:rFonts w:asciiTheme="minorHAnsi" w:hAnsiTheme="minorHAnsi" w:cstheme="minorHAnsi"/>
                <w:i/>
                <w:iCs/>
                <w:szCs w:val="24"/>
              </w:rPr>
              <w:t>sandbox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), kai failai siunčiami patikrai į saugią aplinką, atidaromi, imituojant įprastą vartotojo elgseną ir identifikuojama žalingą jų veiklą. </w:t>
            </w:r>
          </w:p>
          <w:p w14:paraId="7769F74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Nuorodų į failus el. laiškuose pakeitimas į nuorodas, pagal kurias failai tikrinami kaskart prieš leidžiant juos atsisiųsti vartotojui. Tokiu būdu išvengiama atakų, kai po išsiuntimo nusikaltėliai pakeičia nurodytą failą į žalingą.</w:t>
            </w:r>
          </w:p>
          <w:p w14:paraId="3740E07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Nuorodų į svetaines patikra el. laiškuose, identifikuojant žalingas svetaines. Nuorodų perrašymo funkcionalumas turi veikti ir nuorodoms į svetaines.</w:t>
            </w:r>
          </w:p>
          <w:p w14:paraId="4EF04EE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Aktyvaus turinio (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macros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script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 išvalymas iš  Office paketo bei .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pdf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failų bei saugių failų pateikimas vartotojams, suteikiant vartotojui galimybę atsisiųsti originalų saugų failą po patikros. Galimybė konvertuoti visus Microsoft Office failus į .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pdf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failus be aktyvaus turinio, su galimybe vartotojui atsisiųsti originalius saugius failus po patikros.</w:t>
            </w:r>
          </w:p>
          <w:p w14:paraId="74100906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Saugos politikoje nustatoma failų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karantinavimo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ir blokavimo politika. Galimybė vartotojui teikti prašymus savitarnoje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karantinuotų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el. laiškų ir prisegtukų atstatymui. Galimybė kurti savo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karantinavimo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ir blokavimo pranešimus lietuvių kalba.</w:t>
            </w:r>
          </w:p>
          <w:p w14:paraId="263716D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nustatyti skirtingas politikas su skirtingu funkcionalumu ir nustatymais skirtingoms vartotojų grupėms.</w:t>
            </w:r>
          </w:p>
          <w:p w14:paraId="2A7483C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naudoti saugos politikas: užlaikant el. laiškus iki patikros pabaigos; pateikiant el. laiškus vartotojui ir juos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karantinuojant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arba šalinant po patikros pabaigos, aptikus žalingą turinį; pateikiant el. laiškus vartotojui ir sugeneruojant saugos įvyki aptikus žalingą turinį. </w:t>
            </w:r>
          </w:p>
          <w:p w14:paraId="52F080A6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Sprendimo patikra turi būti įgyvendama po platformos tiekėjo (Microsoft, Google) patikros, užtikrinant kelių lygių patikrą ir žalingo turinio blokavimą.</w:t>
            </w:r>
          </w:p>
          <w:p w14:paraId="6F8436D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leidžiantis ieškoti duomenų bazėje el. laišku pagal įvairius požymius.</w:t>
            </w:r>
          </w:p>
          <w:p w14:paraId="3E38F4CE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Vartotojų informavimas apie potencialiai žalingą ar įtartina turinį, kai laiškas pagal požymius nėra identifikuojamas kaip žalingas, atvejais kai:</w:t>
            </w:r>
          </w:p>
          <w:p w14:paraId="2A1451E3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Laiške prašoma atnaujinti mokėjimo informaciją.</w:t>
            </w:r>
          </w:p>
          <w:p w14:paraId="68963D24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Laiške pateikiama sąskaita iš naujo, iki šiol neužfiksuoto tiekėjo.</w:t>
            </w:r>
          </w:p>
          <w:p w14:paraId="66B47973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Laiške pateikiama informacija susijusi su darbo santykiais – darbo užmokesčiu.</w:t>
            </w:r>
          </w:p>
          <w:p w14:paraId="34A415C8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Laiške pateikiamas apmokėjimo prašymas.</w:t>
            </w:r>
          </w:p>
          <w:p w14:paraId="15E46DCE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Laiške pateikiamos nuorodos į apribotos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priegios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resursus.</w:t>
            </w:r>
          </w:p>
          <w:p w14:paraId="77552AA2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„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Reply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-to“ lauke nurodomas kitas el. pašto adresas, negu siuntėjo el. pašto adresas arba „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Reply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-to“ adreso domenas neseniai registruotas. Siuntėjo el. pašto adreso domenas nesenai registruotas.</w:t>
            </w:r>
          </w:p>
          <w:p w14:paraId="19518EE7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Siuntėjas pirmą kartą siunčia laišką gavėjui. Siuntėjo pateikiama informacija (el. pašto adresas, vardas) panašus į organizacijos vidinio vartotojo adresą ar vardą.</w:t>
            </w:r>
          </w:p>
          <w:p w14:paraId="68E3E5BE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įvykių kaupimas ir paieška. Įvykių informacijoje turi būti nurodomos tikslios sprendimo priežastys, bei atvaizduojamas ir platformos tiekėjo (Microsoft, Google) verdiktai ir jų priežastys.</w:t>
            </w:r>
          </w:p>
        </w:tc>
        <w:tc>
          <w:tcPr>
            <w:tcW w:w="3882" w:type="dxa"/>
          </w:tcPr>
          <w:p w14:paraId="59484B26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17A42636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45BDC364" w14:textId="0F5AAC47" w:rsidTr="00F54525">
        <w:tc>
          <w:tcPr>
            <w:tcW w:w="1423" w:type="dxa"/>
            <w:vAlign w:val="center"/>
          </w:tcPr>
          <w:p w14:paraId="15E8B295" w14:textId="50BEBFDD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1B17C41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Failų dalijimosi platformų apsauga</w:t>
            </w:r>
          </w:p>
        </w:tc>
        <w:tc>
          <w:tcPr>
            <w:tcW w:w="3981" w:type="dxa"/>
            <w:vAlign w:val="center"/>
          </w:tcPr>
          <w:p w14:paraId="79CB590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Failų įkeliamų į dalijimosi platformas (įskaitant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OneDrive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Sharepoint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 patikra.</w:t>
            </w:r>
          </w:p>
          <w:p w14:paraId="09239992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Patikra turi apimti žinomų žalingų failų aptikimą, bei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smėliadėžės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funkcionalumą, kai failai siunčiami patikrai į saugią aplinką, atidaromi, imituojant įprastą vartotojo elgseną ir identifikuojant žalingą jų veiklą.</w:t>
            </w:r>
          </w:p>
          <w:p w14:paraId="35C72DB6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tikrinami failai bei nuorodos juose.</w:t>
            </w:r>
          </w:p>
          <w:p w14:paraId="35317762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Aptikus žalingą turinį, failai turi būti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karantinuojami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3882" w:type="dxa"/>
          </w:tcPr>
          <w:p w14:paraId="206684F3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248FDE49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4DA69EEB" w14:textId="3E4F5CBA" w:rsidTr="00F54525">
        <w:tc>
          <w:tcPr>
            <w:tcW w:w="1423" w:type="dxa"/>
            <w:vAlign w:val="center"/>
          </w:tcPr>
          <w:p w14:paraId="1BFDB689" w14:textId="40D35CC6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6F506C20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Bendravimo platformų apsauga</w:t>
            </w:r>
          </w:p>
        </w:tc>
        <w:tc>
          <w:tcPr>
            <w:tcW w:w="3981" w:type="dxa"/>
            <w:vAlign w:val="center"/>
          </w:tcPr>
          <w:p w14:paraId="7B50F6F7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Bendravimo platformų (įskaitant Teams) patikra.</w:t>
            </w:r>
          </w:p>
          <w:p w14:paraId="6C1F5EEF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identifikuojantis gaunamas socialinės inžinerijos žinutes.</w:t>
            </w:r>
          </w:p>
          <w:p w14:paraId="0A89E4BF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identifikuojantis gaunamus žalingus failus.</w:t>
            </w:r>
          </w:p>
          <w:p w14:paraId="671938D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Aptikus žalingą turinį turi būti blokuojama vartotojo prieiga prie jo.</w:t>
            </w:r>
          </w:p>
        </w:tc>
        <w:tc>
          <w:tcPr>
            <w:tcW w:w="3882" w:type="dxa"/>
          </w:tcPr>
          <w:p w14:paraId="66CD1668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05A52CFB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37CFC196" w14:textId="2CBB51C2" w:rsidTr="00F54525">
        <w:tc>
          <w:tcPr>
            <w:tcW w:w="1423" w:type="dxa"/>
            <w:vAlign w:val="center"/>
          </w:tcPr>
          <w:p w14:paraId="0C2B7F28" w14:textId="079AE975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7BB9D694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Įsilaužimo į vartotojų paskyras apsauga</w:t>
            </w:r>
          </w:p>
        </w:tc>
        <w:tc>
          <w:tcPr>
            <w:tcW w:w="3981" w:type="dxa"/>
            <w:vAlign w:val="center"/>
          </w:tcPr>
          <w:p w14:paraId="2369DCAF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Sprendimas turi stebėti Perkančiosios organizacijos vartotojų prisijungimo įvykius ir aptikti nuokrypius nuo normos, įskaitant:</w:t>
            </w:r>
          </w:p>
          <w:p w14:paraId="2F43F53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Nuokrypius nuo įprastos vartotojo elgsenos, naudojant mašininio mokymosi modelius.</w:t>
            </w:r>
          </w:p>
          <w:p w14:paraId="5D2368C4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Neįmanomos kelionės įvykius, kai vartotojas panašiu metu jungiasi iš skirtingų geografinių vietovių.</w:t>
            </w:r>
          </w:p>
          <w:p w14:paraId="327717F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Neįprastų nustatymų aptikimas – automatiškai trinami nauji laiškai, automatiškai persiunčiami laiškai ar pan.</w:t>
            </w:r>
          </w:p>
          <w:p w14:paraId="1DDF6D1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Vartotojas siunčia žalingus laiškus.</w:t>
            </w:r>
          </w:p>
          <w:p w14:paraId="1F69100E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Vartotojas jungiasi iš IP adreso, susieto su žinomais incidentais.</w:t>
            </w:r>
          </w:p>
          <w:p w14:paraId="1C99B6DD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  <w:p w14:paraId="50090497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Aptikus žalingus incidentus turi būti sugeneruotas įvykis, informuojant administratorius. Taip pat vartotojo dėl kurio veiklos atsirado įtarimų turi būti automatiškai papildomai tikrinami failų ir laiškų srautai.</w:t>
            </w:r>
          </w:p>
          <w:p w14:paraId="0501F990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galimybė automatiškai blokuoti vartotojų paskyras į kurias yra įsilaužta.</w:t>
            </w:r>
          </w:p>
        </w:tc>
        <w:tc>
          <w:tcPr>
            <w:tcW w:w="3882" w:type="dxa"/>
          </w:tcPr>
          <w:p w14:paraId="39FD3E7E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293C3846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77958EAA" w14:textId="0647A322" w:rsidTr="00F54525">
        <w:tc>
          <w:tcPr>
            <w:tcW w:w="1423" w:type="dxa"/>
            <w:vAlign w:val="center"/>
          </w:tcPr>
          <w:p w14:paraId="38425AC7" w14:textId="5CFAD298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64A1627A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Bendras saugos funkcionalumas</w:t>
            </w:r>
          </w:p>
        </w:tc>
        <w:tc>
          <w:tcPr>
            <w:tcW w:w="3981" w:type="dxa"/>
            <w:vAlign w:val="center"/>
          </w:tcPr>
          <w:p w14:paraId="1E4BC886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aprašyti išimtis:</w:t>
            </w:r>
          </w:p>
          <w:p w14:paraId="5C588D3A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praleisti arba blokuoti tam tikrų siuntėjų ar siuntėjo domenų laiškus;</w:t>
            </w:r>
          </w:p>
          <w:p w14:paraId="4C2ECE06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praleisti arba blokuoti laiškus iš tam tikrų IP adresų;</w:t>
            </w:r>
          </w:p>
          <w:p w14:paraId="3AA2A1DC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praleisti arba blokuoti laiškus tam tikriems gavėjams;</w:t>
            </w:r>
          </w:p>
          <w:p w14:paraId="0C283B0F" w14:textId="77777777" w:rsidR="00F54525" w:rsidRPr="0084414B" w:rsidRDefault="00F54525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praleisti arba blokuoti laiškus su tam tikra tema ar tekstu.</w:t>
            </w:r>
          </w:p>
          <w:p w14:paraId="7E6E6285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aprašyti vartotojų elgsenos ypatumus, į kuriuos nereaguotų įsilaužimo į vartotojų paskyras apsaugos funkcionalumas.</w:t>
            </w:r>
          </w:p>
          <w:p w14:paraId="6BC691BC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aprašyti automatiškai netikrinamus failus, URL.</w:t>
            </w:r>
          </w:p>
          <w:p w14:paraId="3BD1B83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rankiniu būdu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karantinuoti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el. laiškus.</w:t>
            </w:r>
          </w:p>
        </w:tc>
        <w:tc>
          <w:tcPr>
            <w:tcW w:w="3882" w:type="dxa"/>
          </w:tcPr>
          <w:p w14:paraId="68E6F9C9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054A10B1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6182C63A" w14:textId="056F18C4" w:rsidTr="00F54525">
        <w:tc>
          <w:tcPr>
            <w:tcW w:w="1423" w:type="dxa"/>
            <w:vAlign w:val="center"/>
          </w:tcPr>
          <w:p w14:paraId="3F8F0ACA" w14:textId="1D6DE7B0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6D9DCB1C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Saugos įvykių atvaizdavimas</w:t>
            </w:r>
          </w:p>
        </w:tc>
        <w:tc>
          <w:tcPr>
            <w:tcW w:w="3981" w:type="dxa"/>
            <w:vAlign w:val="center"/>
          </w:tcPr>
          <w:p w14:paraId="5985E84E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Visi saugos įvykiai turi būti atvaizduojami per grafinę sąsają.</w:t>
            </w:r>
          </w:p>
          <w:p w14:paraId="012DF159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filtruoti įvykius pagal laiką, būseną, incidentui pritaikytą veiksmą (blokuotas,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karantinuotas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ir pan.), grėsmės lygį, apsaugotą aplikaciją, grėsmės tipą, vartotoją.</w:t>
            </w:r>
          </w:p>
          <w:p w14:paraId="5A90A43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atvaizduojami tiek gamintojo platformos saugos įvykiai, tiek saugos įvykiai gaunami iš Microsoft 365 platformos.</w:t>
            </w:r>
          </w:p>
          <w:p w14:paraId="79F8DDB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ataskaitų funkcionalumas, pateikiantis apibendrintą istorinę informaciją apie įvykius.</w:t>
            </w:r>
          </w:p>
          <w:p w14:paraId="5B5EDE4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galimybė peržiūrėti žalingus el. laiškus, atsisiųsti žalingus failus per grafinę sąsają tolimesnei analizei.</w:t>
            </w:r>
          </w:p>
        </w:tc>
        <w:tc>
          <w:tcPr>
            <w:tcW w:w="3882" w:type="dxa"/>
          </w:tcPr>
          <w:p w14:paraId="0A4BC319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1215CF1A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62C0DCDE" w14:textId="69B6DF40" w:rsidTr="00F54525">
        <w:tc>
          <w:tcPr>
            <w:tcW w:w="1423" w:type="dxa"/>
            <w:vAlign w:val="center"/>
          </w:tcPr>
          <w:p w14:paraId="70FB76E2" w14:textId="1C5E15F1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7A0CB7CE" w14:textId="77777777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Valdymo funkcionalumas</w:t>
            </w:r>
          </w:p>
        </w:tc>
        <w:tc>
          <w:tcPr>
            <w:tcW w:w="3981" w:type="dxa"/>
            <w:vAlign w:val="center"/>
          </w:tcPr>
          <w:p w14:paraId="54F455D7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Visas sprendimo funkcionalumas turi būti valdomas per grafinę sąsają.</w:t>
            </w:r>
          </w:p>
          <w:p w14:paraId="3C8E0A9F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Perkančiajai organizacijai turi būti suteikiama prieiga prie Gamintojo infrastruktūroje esančio sprendimo valdymo.</w:t>
            </w:r>
          </w:p>
          <w:p w14:paraId="303A56B8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galimybė kurti kelias administratorių paskyras su skirtingu prieigos lygiu (peržiūrėti ir redaguoti, tik peržiūrėti).</w:t>
            </w:r>
          </w:p>
          <w:p w14:paraId="491DAC55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Administratorių autentifikavimas turi veikti per Microsoft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Azure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AD, Okta, DUO, Google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Workspace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platformas, RADIUS ir SAML autentifikaciją.</w:t>
            </w:r>
          </w:p>
          <w:p w14:paraId="12690A67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įvykius perduoti į SIEM ir įvykių valdymo sprendimus, naudojant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json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ir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syslog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(RFC 5424) formatus.</w:t>
            </w:r>
          </w:p>
        </w:tc>
        <w:tc>
          <w:tcPr>
            <w:tcW w:w="3882" w:type="dxa"/>
          </w:tcPr>
          <w:p w14:paraId="63E2221C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761" w:type="dxa"/>
          </w:tcPr>
          <w:p w14:paraId="279F8D0B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F54525" w:rsidRPr="0084414B" w14:paraId="670D9EE1" w14:textId="2EF29CF7" w:rsidTr="00F54525">
        <w:tc>
          <w:tcPr>
            <w:tcW w:w="1423" w:type="dxa"/>
            <w:vAlign w:val="center"/>
          </w:tcPr>
          <w:p w14:paraId="1BE62D7B" w14:textId="607C9192" w:rsidR="00F54525" w:rsidRPr="0084414B" w:rsidRDefault="00F54525" w:rsidP="002D5120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757" w:type="dxa"/>
            <w:vAlign w:val="center"/>
          </w:tcPr>
          <w:p w14:paraId="686B92AF" w14:textId="4E77C95B" w:rsidR="00F54525" w:rsidRPr="0084414B" w:rsidRDefault="00F54525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Nuomos teikimo laikotarpis ir gamintojo įsipareigojimai</w:t>
            </w:r>
          </w:p>
        </w:tc>
        <w:tc>
          <w:tcPr>
            <w:tcW w:w="3981" w:type="dxa"/>
            <w:vAlign w:val="center"/>
          </w:tcPr>
          <w:p w14:paraId="01E73CF6" w14:textId="76F14639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Nuoma turi būti teikiama 36 mėn. laikotarpyje (nuo 2025-12-30). </w:t>
            </w:r>
          </w:p>
          <w:p w14:paraId="1F1A66BC" w14:textId="2DD44261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Nuomos palaikymas visą nuomos teikimo laikotarpį. Teisė kreiptis į gamintoją iškilus problemai (produkto naudojimo, konfigūravimo ir problemų sprendimo klausimais) darbo dienomis, internetu, elektroniniu paštu, faksu arba telefonu.</w:t>
            </w:r>
          </w:p>
          <w:p w14:paraId="52E40B12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Į pasiūlymą turi būti įtrauktos visos reikiamos licencijos išvardintam funkcionalumui įgyvendinti visam laikotarpiui.</w:t>
            </w:r>
          </w:p>
          <w:p w14:paraId="11899B0B" w14:textId="77777777" w:rsidR="00F54525" w:rsidRPr="0084414B" w:rsidRDefault="00F54525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Prieiga prie gamintojo internetiniame puslapyje esančių techninių resursų, tarp jų ir instrukcijų bei programinės įrangos bibliotekos.</w:t>
            </w:r>
          </w:p>
        </w:tc>
        <w:tc>
          <w:tcPr>
            <w:tcW w:w="3882" w:type="dxa"/>
          </w:tcPr>
          <w:p w14:paraId="380F6F4B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3761" w:type="dxa"/>
          </w:tcPr>
          <w:p w14:paraId="2C7C6B86" w14:textId="77777777" w:rsidR="00F54525" w:rsidRPr="0084414B" w:rsidRDefault="00F54525" w:rsidP="00A10BBB">
            <w:pPr>
              <w:pStyle w:val="ListParagraph"/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10950C30" w14:textId="77777777" w:rsidR="00A10BBB" w:rsidRPr="0084414B" w:rsidRDefault="00A10BBB" w:rsidP="00A10BBB">
      <w:pPr>
        <w:rPr>
          <w:rFonts w:asciiTheme="minorHAnsi" w:hAnsiTheme="minorHAnsi" w:cstheme="minorHAnsi"/>
          <w:szCs w:val="24"/>
        </w:rPr>
      </w:pPr>
    </w:p>
    <w:p w14:paraId="410136E0" w14:textId="77777777" w:rsidR="00A10BBB" w:rsidRPr="0084414B" w:rsidRDefault="00A10BBB" w:rsidP="00A10BBB">
      <w:pPr>
        <w:pStyle w:val="ListParagraph"/>
        <w:rPr>
          <w:rFonts w:asciiTheme="minorHAnsi" w:hAnsiTheme="minorHAnsi" w:cstheme="minorHAnsi"/>
          <w:b/>
          <w:szCs w:val="24"/>
        </w:rPr>
      </w:pPr>
    </w:p>
    <w:p w14:paraId="66A2F402" w14:textId="628FDEEB" w:rsidR="00A10BBB" w:rsidRPr="0084414B" w:rsidRDefault="00A10BBB" w:rsidP="00A10BBB">
      <w:pPr>
        <w:ind w:left="-426"/>
        <w:rPr>
          <w:rFonts w:asciiTheme="minorHAnsi" w:hAnsiTheme="minorHAnsi" w:cstheme="minorHAnsi"/>
          <w:szCs w:val="24"/>
        </w:rPr>
      </w:pPr>
      <w:r w:rsidRPr="0084414B">
        <w:rPr>
          <w:rFonts w:asciiTheme="minorHAnsi" w:hAnsiTheme="minorHAnsi" w:cstheme="minorHAnsi"/>
          <w:szCs w:val="24"/>
        </w:rPr>
        <w:t>2.2</w:t>
      </w:r>
      <w:r w:rsidR="002D5120" w:rsidRPr="0084414B">
        <w:rPr>
          <w:rFonts w:asciiTheme="minorHAnsi" w:hAnsiTheme="minorHAnsi" w:cstheme="minorHAnsi"/>
          <w:szCs w:val="24"/>
        </w:rPr>
        <w:t xml:space="preserve">. </w:t>
      </w:r>
      <w:r w:rsidRPr="0084414B">
        <w:rPr>
          <w:rFonts w:asciiTheme="minorHAnsi" w:hAnsiTheme="minorHAnsi" w:cstheme="minorHAnsi"/>
          <w:szCs w:val="24"/>
        </w:rPr>
        <w:t xml:space="preserve"> Darbo vietų saugos sprendimas</w:t>
      </w:r>
    </w:p>
    <w:p w14:paraId="4467CB11" w14:textId="77777777" w:rsidR="0084414B" w:rsidRPr="0084414B" w:rsidRDefault="0084414B" w:rsidP="00A10BBB">
      <w:pPr>
        <w:ind w:left="-426"/>
        <w:rPr>
          <w:rFonts w:asciiTheme="minorHAnsi" w:hAnsiTheme="minorHAnsi" w:cstheme="minorHAnsi"/>
          <w:szCs w:val="24"/>
        </w:rPr>
      </w:pPr>
    </w:p>
    <w:tbl>
      <w:tblPr>
        <w:tblW w:w="527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915"/>
        <w:gridCol w:w="3829"/>
        <w:gridCol w:w="3826"/>
        <w:gridCol w:w="3826"/>
      </w:tblGrid>
      <w:tr w:rsidR="0090763B" w:rsidRPr="0084414B" w14:paraId="1AB5E02D" w14:textId="5A584E16" w:rsidTr="00CA31CC">
        <w:tc>
          <w:tcPr>
            <w:tcW w:w="465" w:type="pct"/>
            <w:vAlign w:val="center"/>
          </w:tcPr>
          <w:p w14:paraId="1477D941" w14:textId="77777777" w:rsidR="0090763B" w:rsidRPr="0084414B" w:rsidRDefault="0090763B" w:rsidP="005F700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Eil. Nr.</w:t>
            </w:r>
          </w:p>
        </w:tc>
        <w:tc>
          <w:tcPr>
            <w:tcW w:w="648" w:type="pct"/>
            <w:vAlign w:val="center"/>
          </w:tcPr>
          <w:p w14:paraId="54D65500" w14:textId="77777777" w:rsidR="0090763B" w:rsidRPr="0084414B" w:rsidRDefault="0090763B" w:rsidP="005F700A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Pavadinimas</w:t>
            </w:r>
          </w:p>
        </w:tc>
        <w:tc>
          <w:tcPr>
            <w:tcW w:w="1296" w:type="pct"/>
            <w:vAlign w:val="center"/>
          </w:tcPr>
          <w:p w14:paraId="3D87B84B" w14:textId="77777777" w:rsidR="0090763B" w:rsidRPr="0084414B" w:rsidRDefault="0090763B" w:rsidP="005F700A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Reikalavimai</w:t>
            </w:r>
          </w:p>
        </w:tc>
        <w:tc>
          <w:tcPr>
            <w:tcW w:w="1295" w:type="pct"/>
          </w:tcPr>
          <w:p w14:paraId="380BEB3C" w14:textId="77777777" w:rsidR="00055E8E" w:rsidRDefault="00055E8E" w:rsidP="005F700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4F6F0433" w14:textId="77777777" w:rsidR="00055E8E" w:rsidRDefault="00055E8E" w:rsidP="005F700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  <w:p w14:paraId="2A7DBA39" w14:textId="3C4C1FDC" w:rsidR="0090763B" w:rsidRPr="0084414B" w:rsidRDefault="0090763B" w:rsidP="005F700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4414B">
              <w:rPr>
                <w:rFonts w:asciiTheme="minorHAnsi" w:hAnsiTheme="minorHAnsi" w:cstheme="minorHAnsi"/>
                <w:b/>
                <w:szCs w:val="24"/>
              </w:rPr>
              <w:t>Siūloma reikšmė</w:t>
            </w:r>
          </w:p>
        </w:tc>
        <w:tc>
          <w:tcPr>
            <w:tcW w:w="1295" w:type="pct"/>
          </w:tcPr>
          <w:p w14:paraId="08B88FEA" w14:textId="7E3AB6E3" w:rsidR="0090763B" w:rsidRPr="0084414B" w:rsidRDefault="00CA31CC" w:rsidP="005F700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A31CC">
              <w:rPr>
                <w:rFonts w:asciiTheme="minorHAnsi" w:hAnsiTheme="minorHAnsi" w:cstheme="minorHAnsi"/>
                <w:b/>
                <w:szCs w:val="24"/>
              </w:rPr>
              <w:t>Atitiktį Techninės specifikacijos reikalavimams pagrindžiantys dokumentai (pvz. gamintojo prekės aprašymas arba internetinė nuoroda į gamintojo psl., arba kiti lygiaverčiai dokumentai).</w:t>
            </w:r>
          </w:p>
        </w:tc>
      </w:tr>
      <w:tr w:rsidR="0090763B" w:rsidRPr="0084414B" w14:paraId="78C6EF3A" w14:textId="60BBE2CF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4E65EA66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36DE32E8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Sprendimo pavadinimas </w:t>
            </w:r>
          </w:p>
        </w:tc>
        <w:tc>
          <w:tcPr>
            <w:tcW w:w="1296" w:type="pct"/>
            <w:vAlign w:val="center"/>
          </w:tcPr>
          <w:p w14:paraId="0553BEAF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Darbo vietų saugos programinės įrangos programinė įranga.</w:t>
            </w:r>
          </w:p>
        </w:tc>
        <w:tc>
          <w:tcPr>
            <w:tcW w:w="1295" w:type="pct"/>
          </w:tcPr>
          <w:p w14:paraId="0E8CA6CD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389DA1DE" w14:textId="50136724" w:rsidR="0090763B" w:rsidRDefault="00055E8E" w:rsidP="00CA31CC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  <w:p w14:paraId="22F9051B" w14:textId="180CA834" w:rsidR="00CB528E" w:rsidRPr="0084414B" w:rsidRDefault="00CB528E" w:rsidP="00CA31CC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02E69064" w14:textId="75EB101F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02D471FF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  <w:bookmarkStart w:id="5" w:name="_Hlk184744604"/>
          </w:p>
        </w:tc>
        <w:tc>
          <w:tcPr>
            <w:tcW w:w="648" w:type="pct"/>
            <w:vAlign w:val="center"/>
          </w:tcPr>
          <w:p w14:paraId="2B25E2BC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Licencijos tipas</w:t>
            </w:r>
          </w:p>
        </w:tc>
        <w:tc>
          <w:tcPr>
            <w:tcW w:w="1296" w:type="pct"/>
            <w:vAlign w:val="center"/>
          </w:tcPr>
          <w:p w14:paraId="67780862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Licencijų nuoma (angl. </w:t>
            </w:r>
            <w:proofErr w:type="spellStart"/>
            <w:r w:rsidRPr="0084414B">
              <w:rPr>
                <w:rFonts w:asciiTheme="minorHAnsi" w:hAnsiTheme="minorHAnsi" w:cstheme="minorHAnsi"/>
                <w:i/>
                <w:szCs w:val="24"/>
              </w:rPr>
              <w:t>subscription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1295" w:type="pct"/>
          </w:tcPr>
          <w:p w14:paraId="091A6DD9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55D65971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69A94EA4" w14:textId="6BDCCF11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623DF84F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7E6BE070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Kiekybiniai parametrai</w:t>
            </w:r>
          </w:p>
        </w:tc>
        <w:tc>
          <w:tcPr>
            <w:tcW w:w="1296" w:type="pct"/>
            <w:vAlign w:val="center"/>
          </w:tcPr>
          <w:p w14:paraId="0B8E358E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  <w:highlight w:val="yellow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300 vartotojų</w:t>
            </w:r>
          </w:p>
        </w:tc>
        <w:tc>
          <w:tcPr>
            <w:tcW w:w="1295" w:type="pct"/>
          </w:tcPr>
          <w:p w14:paraId="2E6A3A37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1100BCFC" w14:textId="641B45D9" w:rsidR="0090763B" w:rsidRPr="0084414B" w:rsidRDefault="00CB528E" w:rsidP="00CB528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x</w:t>
            </w:r>
          </w:p>
        </w:tc>
      </w:tr>
      <w:bookmarkEnd w:id="5"/>
      <w:tr w:rsidR="0090763B" w:rsidRPr="0084414B" w14:paraId="7ADC55EF" w14:textId="224A1068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1F3AE36A" w14:textId="575A20F4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31331A52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Valdymo funkcionalumas</w:t>
            </w:r>
          </w:p>
        </w:tc>
        <w:tc>
          <w:tcPr>
            <w:tcW w:w="1296" w:type="pct"/>
            <w:vAlign w:val="center"/>
          </w:tcPr>
          <w:p w14:paraId="10859A34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Visas sprendimo funkcionalumas turi būti valdomas per grafinę sąsają.</w:t>
            </w:r>
          </w:p>
          <w:p w14:paraId="70796B45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Valdymas turi būti veikti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SaaS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(programinės įrangos paslauga) principu ir veikti gamintojo debesų kompiuterijos infrastruktūroje.</w:t>
            </w:r>
          </w:p>
          <w:p w14:paraId="7D15209C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Gamintojas turi užtikrinti, kad valdymo programinė įranga ir visi susiję duomenys būtų laikomi duomenų centre Europos sąjungos teritorijoje.</w:t>
            </w:r>
          </w:p>
          <w:p w14:paraId="2E910C44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Perkančiajai organizacijai turi būti suteikiama prieiga prie Gamintojo infrastruktūroje esančio sprendimo valdymo.</w:t>
            </w:r>
          </w:p>
          <w:p w14:paraId="0D904F78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galimybė kurti kelias administratorių paskyras su skirtingu prieigos lygiu (peržiūrėti ir redaguoti, tik peržiūrėti).</w:t>
            </w:r>
          </w:p>
          <w:p w14:paraId="74455BFF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Administratorių autentifikavimas turi veikti per Microsoft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Azure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AD, Okta, DUO, Google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Workspace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platformas, RADIUS ir SAML autentifikaciją.</w:t>
            </w:r>
          </w:p>
          <w:p w14:paraId="23E748B0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įvykius perduoti į SIEM ir įvykių valdymo sprendimus, naudojant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json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ir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syslog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(RFC 5424) formatus.</w:t>
            </w:r>
          </w:p>
        </w:tc>
        <w:tc>
          <w:tcPr>
            <w:tcW w:w="1295" w:type="pct"/>
          </w:tcPr>
          <w:p w14:paraId="3431D4BA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0E6423E6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65A4B93F" w14:textId="565ED82B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71D9B565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4810E265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Įvykių surinkimo funkcionalumas</w:t>
            </w:r>
          </w:p>
        </w:tc>
        <w:tc>
          <w:tcPr>
            <w:tcW w:w="1296" w:type="pct"/>
            <w:vAlign w:val="center"/>
          </w:tcPr>
          <w:p w14:paraId="4ACA1C86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Programinė įranga turi perduoti įvykius į valdymo serverį nustatytų periodiškumu.</w:t>
            </w:r>
          </w:p>
          <w:p w14:paraId="46B526BB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Programinė įranga turi kaupti įvykius susijusius su visu saugos funkcionalumu. Įvykis turi apimti informaciją apie susijusį vartotoją, įrenginį, suveikusią apsaugą, bei kontekstinę grėsmės informaciją susijusią su konkrečiu funkcionalumu.</w:t>
            </w:r>
          </w:p>
          <w:p w14:paraId="2E9BBCE9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Valdymo serveris turi kaupti įvykius ne trumpiau kaip 90 dienų.</w:t>
            </w:r>
          </w:p>
          <w:p w14:paraId="27AAFC7B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Galimybė eksportuoti įvykius į išorinę talpyklą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syslog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protokolu.</w:t>
            </w:r>
          </w:p>
        </w:tc>
        <w:tc>
          <w:tcPr>
            <w:tcW w:w="1295" w:type="pct"/>
          </w:tcPr>
          <w:p w14:paraId="714CA17E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0F97C6AF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7C70C93D" w14:textId="4828EBD2" w:rsidTr="00CA31CC">
        <w:tblPrEx>
          <w:tblLook w:val="0000" w:firstRow="0" w:lastRow="0" w:firstColumn="0" w:lastColumn="0" w:noHBand="0" w:noVBand="0"/>
        </w:tblPrEx>
        <w:tc>
          <w:tcPr>
            <w:tcW w:w="465" w:type="pct"/>
            <w:vAlign w:val="center"/>
          </w:tcPr>
          <w:p w14:paraId="7B63996C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3701C7E2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Darbo vietų valdymas ir bendrieji nustatymai</w:t>
            </w:r>
          </w:p>
        </w:tc>
        <w:tc>
          <w:tcPr>
            <w:tcW w:w="1296" w:type="pct"/>
            <w:vAlign w:val="center"/>
          </w:tcPr>
          <w:p w14:paraId="5A5E087C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būti funkcionalumas leidžiantis atlikti nuotolinius veiksmus įrenginiui arba jų grupei įskaitant:</w:t>
            </w:r>
          </w:p>
          <w:p w14:paraId="64785FA7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Inicijuoti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failinės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sistemos antivirusinį skanavimą, atnaujinti aprašų duomenų bazę, atstatyti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karantinuotus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failus.</w:t>
            </w:r>
          </w:p>
          <w:p w14:paraId="78FA6501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Atlikti įrenginio analizę pagal grėsmės indikatorių.</w:t>
            </w:r>
          </w:p>
          <w:p w14:paraId="3901C150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Izoliuoti kompiuterį, panaikinti izoliavimą.</w:t>
            </w:r>
          </w:p>
          <w:p w14:paraId="1361EDE9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Surinkti įvykius, inicijuoti programinės įrangos taisymą, išjungti įrenginį, perkrauti įrenginį, ištrinti programinę įrangą.</w:t>
            </w:r>
          </w:p>
          <w:p w14:paraId="2EF0C0F0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Išjungti procesą, atlikti procesų skanavimą.</w:t>
            </w:r>
          </w:p>
          <w:p w14:paraId="652680FD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Paieškoti ir paimti failą iš kompiuterio.</w:t>
            </w:r>
          </w:p>
          <w:p w14:paraId="112F66E5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Paleisti nuotolinę komandą.</w:t>
            </w:r>
          </w:p>
          <w:p w14:paraId="628B11C4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Inicijuoti diagnostiką.</w:t>
            </w:r>
          </w:p>
          <w:p w14:paraId="0C357D59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programinės įrangos klientui nustatyti šiuos parametrus:</w:t>
            </w:r>
          </w:p>
          <w:p w14:paraId="7B167D72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Pranešimų vartotojams atvaizdavimas.</w:t>
            </w:r>
          </w:p>
          <w:p w14:paraId="28D76E82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Teisę vartotojui nukelti atnaujinimą.</w:t>
            </w:r>
          </w:p>
          <w:p w14:paraId="6BB740DF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Ištrynimo slaptažodžio nustatymas. Vartotojas lokaliai negali turėti galimybę be slaptažodžio ištrinti programinės įrangos.</w:t>
            </w:r>
          </w:p>
          <w:p w14:paraId="7040AE6F" w14:textId="77777777" w:rsidR="0090763B" w:rsidRPr="0084414B" w:rsidRDefault="0090763B" w:rsidP="00A10BBB">
            <w:pPr>
              <w:pStyle w:val="ListParagraph"/>
              <w:numPr>
                <w:ilvl w:val="1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Galimybė nustatyti URL filtravimo pranešimų turinį, įskaitant lietuvių kalba.</w:t>
            </w:r>
          </w:p>
        </w:tc>
        <w:tc>
          <w:tcPr>
            <w:tcW w:w="1295" w:type="pct"/>
          </w:tcPr>
          <w:p w14:paraId="54F893D0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64EBB59F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041AD856" w14:textId="39C7CE39" w:rsidTr="00CA31CC">
        <w:tc>
          <w:tcPr>
            <w:tcW w:w="465" w:type="pct"/>
            <w:vAlign w:val="center"/>
          </w:tcPr>
          <w:p w14:paraId="0DE51F2D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9E9B81F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Programinės įrangos diegimas</w:t>
            </w:r>
          </w:p>
        </w:tc>
        <w:tc>
          <w:tcPr>
            <w:tcW w:w="1296" w:type="pct"/>
            <w:vAlign w:val="center"/>
          </w:tcPr>
          <w:p w14:paraId="06494EA3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Turi palaikyti Windows 7, 8, 10, 11 Windows Server 2008 R2, 2012, 2012 R2, 2016, 2019, 2022 operacines sistemas.</w:t>
            </w:r>
          </w:p>
          <w:p w14:paraId="455A80BB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Turi palaikyti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macOS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Catalina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Big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Sur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Monterey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Ventura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Sonoma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Sequoia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operacines sistemas.</w:t>
            </w:r>
          </w:p>
          <w:p w14:paraId="3C0964A5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Turi palaikyti Fedora, Alma Linux,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Ubuntu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SUSE Linux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Enterprise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Server, RHEL,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Oracle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Linux,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OPen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Suse,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Debian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CentOS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, Amazon Linux operacines sistemas.</w:t>
            </w:r>
          </w:p>
          <w:p w14:paraId="4F66D832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diegti klientą su visu funkcionalumu, arba pradinį klientą ne didesnį kaip 5 MB. Pradinis klientas turi diegimo metu nustatyti vartotojui ar įrenginiui taikomą politiką ir automatiškai atsiųsti reikiamą funkcionalumo paketą ir politiką.</w:t>
            </w:r>
          </w:p>
          <w:p w14:paraId="3780D03B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Saugumo politikos bei funkcionalumo paketai turi būti nustatomi vartotojų ar įrenginių grupėms. Galimybė diegti skirtingą funkcionalumą skirtingiems vartotojams ar įrenginiams.</w:t>
            </w:r>
          </w:p>
          <w:p w14:paraId="63C127A5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keisti programinės įrangos funkcionalumo paketus bei politikas po diegimo.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T.y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. programinė įranga turi automatiškai įdiegti papildomą funkcionalumą arba išdiegti turimą atsižvelgiant į diegimo politikos nustatymus.</w:t>
            </w:r>
          </w:p>
        </w:tc>
        <w:tc>
          <w:tcPr>
            <w:tcW w:w="1295" w:type="pct"/>
          </w:tcPr>
          <w:p w14:paraId="6C2895F9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413F4569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746DCFBA" w14:textId="1F08DAF2" w:rsidTr="00CA31CC">
        <w:tc>
          <w:tcPr>
            <w:tcW w:w="465" w:type="pct"/>
            <w:vAlign w:val="center"/>
          </w:tcPr>
          <w:p w14:paraId="14EA043B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70B10C9E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Apsaugos nuo grėsmių funkcionalumas</w:t>
            </w:r>
          </w:p>
        </w:tc>
        <w:tc>
          <w:tcPr>
            <w:tcW w:w="1296" w:type="pct"/>
            <w:vAlign w:val="center"/>
          </w:tcPr>
          <w:p w14:paraId="533E0AA6" w14:textId="77777777" w:rsidR="0090763B" w:rsidRPr="0084414B" w:rsidRDefault="0090763B" w:rsidP="005F700A">
            <w:pPr>
              <w:suppressAutoHyphens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Turi turėti tokias integruotas funkcijas:</w:t>
            </w:r>
          </w:p>
          <w:p w14:paraId="0E2B68E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bookmarkStart w:id="6" w:name="OLE_LINK215"/>
            <w:bookmarkStart w:id="7" w:name="OLE_LINK214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Antivirusinė apsauga.</w:t>
            </w:r>
          </w:p>
          <w:p w14:paraId="32637321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URL filtravimas.</w:t>
            </w:r>
          </w:p>
          <w:p w14:paraId="2C448857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bookmarkStart w:id="8" w:name="OLE_LINK217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Organizacijos prisijungimo duomenų naudojimo kontrolę</w:t>
            </w:r>
            <w:bookmarkEnd w:id="8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;</w:t>
            </w:r>
          </w:p>
          <w:p w14:paraId="5C2F32CB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Prievadų apsauga.</w:t>
            </w:r>
          </w:p>
          <w:p w14:paraId="19BC70A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Darbo vietų ugniasienė.</w:t>
            </w:r>
          </w:p>
          <w:p w14:paraId="6D39DD5A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Aplikacijų kontrolė.</w:t>
            </w:r>
          </w:p>
          <w:p w14:paraId="5FEDB21D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bookmarkStart w:id="9" w:name="OLE_LINK216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Apsaugą nuo elektroninio sukčiavimo (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Phishing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)</w:t>
            </w:r>
            <w:bookmarkEnd w:id="9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.</w:t>
            </w:r>
          </w:p>
          <w:p w14:paraId="3CD6FC72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Apsaugą nuo pažeidžiamumų išnaudojimo grėsmių (angl.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Exploit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).</w:t>
            </w:r>
          </w:p>
          <w:bookmarkEnd w:id="6"/>
          <w:p w14:paraId="1E9F693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Apsaugą nuo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tipo duomenis užkoduojančių virusų.</w:t>
            </w:r>
          </w:p>
          <w:p w14:paraId="64937D7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bookmarkStart w:id="10" w:name="OLE_LINK218"/>
            <w:bookmarkEnd w:id="7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Apsaugą nuo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botnet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tinklų kenkėjiškos programinės įrangos.</w:t>
            </w:r>
          </w:p>
          <w:p w14:paraId="0940A04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bookmarkStart w:id="11" w:name="OLE_LINK219"/>
            <w:bookmarkStart w:id="12" w:name="OLE_LINK221"/>
            <w:bookmarkEnd w:id="10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Apsaug</w:t>
            </w:r>
            <w:bookmarkStart w:id="13" w:name="OLE_LINK220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ą nuo grėsmių pagal tipinius žalingo kodo veikimo modelius.</w:t>
            </w:r>
            <w:bookmarkEnd w:id="11"/>
          </w:p>
          <w:p w14:paraId="0F50EB02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Incidentų analizės įrankį.</w:t>
            </w:r>
            <w:bookmarkEnd w:id="12"/>
            <w:bookmarkEnd w:id="13"/>
          </w:p>
          <w:p w14:paraId="2E5455D6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Grėsmių paieškos funkcionalumas.</w:t>
            </w:r>
          </w:p>
        </w:tc>
        <w:tc>
          <w:tcPr>
            <w:tcW w:w="1295" w:type="pct"/>
          </w:tcPr>
          <w:p w14:paraId="01A10CC5" w14:textId="77777777" w:rsidR="0090763B" w:rsidRPr="0084414B" w:rsidRDefault="0090763B" w:rsidP="005F700A">
            <w:pPr>
              <w:suppressAutoHyphens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31C42DBD" w14:textId="77777777" w:rsidR="0090763B" w:rsidRPr="0084414B" w:rsidRDefault="0090763B" w:rsidP="005F700A">
            <w:pPr>
              <w:suppressAutoHyphens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03028862" w14:textId="0CF7DE0D" w:rsidTr="00CA31CC">
        <w:tc>
          <w:tcPr>
            <w:tcW w:w="465" w:type="pct"/>
            <w:vAlign w:val="center"/>
          </w:tcPr>
          <w:p w14:paraId="33C6FC5F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73CC8E44" w14:textId="24C38861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Antivirusinė apsauga</w:t>
            </w:r>
          </w:p>
        </w:tc>
        <w:tc>
          <w:tcPr>
            <w:tcW w:w="1296" w:type="pct"/>
            <w:vAlign w:val="center"/>
          </w:tcPr>
          <w:p w14:paraId="097ACB08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Žinomų virusų aptikimas pagal aprašus.</w:t>
            </w:r>
          </w:p>
          <w:p w14:paraId="46CB9CFD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Žinomų žalingų failų ir procesų aptikimas bei blokavimas.</w:t>
            </w:r>
          </w:p>
          <w:p w14:paraId="0C5280C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karantinuoti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užkrėstus failus, su galimybe failus atstatyti iš karantino.</w:t>
            </w:r>
          </w:p>
          <w:p w14:paraId="54226D10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Failų sistemos periodinis skanavimas. Galimybė pasirinkti failų sistemos skanavimo apimtį, nustatant lokalius diskus, tinklines talpyklas, bei pageidaujamą periodinio skanavimo laiką.</w:t>
            </w:r>
          </w:p>
          <w:p w14:paraId="47BEEFCE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Aprašų atnaujinimai pagal administratoriaus nustatytą grafiką.</w:t>
            </w:r>
          </w:p>
        </w:tc>
        <w:tc>
          <w:tcPr>
            <w:tcW w:w="1295" w:type="pct"/>
          </w:tcPr>
          <w:p w14:paraId="5CC83416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1C0E5651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79F37321" w14:textId="6B7EDF27" w:rsidTr="00CA31CC">
        <w:tc>
          <w:tcPr>
            <w:tcW w:w="465" w:type="pct"/>
            <w:vAlign w:val="center"/>
          </w:tcPr>
          <w:p w14:paraId="1336C337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36EBBD85" w14:textId="39AFB51A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URL filtravimas</w:t>
            </w:r>
          </w:p>
        </w:tc>
        <w:tc>
          <w:tcPr>
            <w:tcW w:w="1296" w:type="pct"/>
            <w:vAlign w:val="center"/>
          </w:tcPr>
          <w:p w14:paraId="0CD26C10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URL filtravimas pagal kategorijas kompiuteriuose ir serveriuose.</w:t>
            </w:r>
          </w:p>
          <w:p w14:paraId="7F8865FE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blokuoti konkrečius URL.</w:t>
            </w:r>
          </w:p>
          <w:p w14:paraId="2EBDCCB7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atlikti URL filtravimą naršyklės (Chrome,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Edge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) lygmenyje, arba tinklo sąsajos lygmenyje.</w:t>
            </w:r>
          </w:p>
          <w:p w14:paraId="426363AB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Pranešimų vartotojui apie uždraustas kategorijas arba URL pateikimas.</w:t>
            </w:r>
          </w:p>
        </w:tc>
        <w:tc>
          <w:tcPr>
            <w:tcW w:w="1295" w:type="pct"/>
          </w:tcPr>
          <w:p w14:paraId="49778E04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7D43DBF7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7EC6153C" w14:textId="42281C89" w:rsidTr="00CA31CC">
        <w:tc>
          <w:tcPr>
            <w:tcW w:w="465" w:type="pct"/>
            <w:vAlign w:val="center"/>
          </w:tcPr>
          <w:p w14:paraId="0B94BB4B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63E1DAED" w14:textId="71D5FF4A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Organizacijos prisijungimo duomenų naudojimo kontrolę</w:t>
            </w:r>
          </w:p>
        </w:tc>
        <w:tc>
          <w:tcPr>
            <w:tcW w:w="1296" w:type="pct"/>
            <w:vAlign w:val="center"/>
          </w:tcPr>
          <w:p w14:paraId="6A989627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Sprendimas turi saugiai kaupti vartotojų prisijungimų slaptažodžius, naudojamus Perkančiosios organizacijos sistemose, bei riboti tų pačių slaptažodžių panaudojimą trečių šalių sistemose.</w:t>
            </w:r>
          </w:p>
          <w:p w14:paraId="7AC5511F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Sprendimas slaptažodžius turi kaupti saugiai (turi būti įrašomi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maišos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kodai), juos saugant lokaliuose įrenginiuose.</w:t>
            </w:r>
          </w:p>
        </w:tc>
        <w:tc>
          <w:tcPr>
            <w:tcW w:w="1295" w:type="pct"/>
          </w:tcPr>
          <w:p w14:paraId="5100E818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17DB87D8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1D149FD0" w14:textId="30F90EC7" w:rsidTr="00CA31CC">
        <w:tc>
          <w:tcPr>
            <w:tcW w:w="465" w:type="pct"/>
            <w:vAlign w:val="center"/>
          </w:tcPr>
          <w:p w14:paraId="10298C1F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4F13557" w14:textId="11407BB1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Prievadų apsauga</w:t>
            </w:r>
          </w:p>
        </w:tc>
        <w:tc>
          <w:tcPr>
            <w:tcW w:w="1296" w:type="pct"/>
            <w:vAlign w:val="center"/>
          </w:tcPr>
          <w:p w14:paraId="5498074C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Prievadų įrenginiuose naudojimo kontrolė.</w:t>
            </w:r>
          </w:p>
          <w:p w14:paraId="675CCD64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Turi būti galimybė valdyti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bluetooth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, USB, LPT, COM, PS2 prievadus.</w:t>
            </w:r>
          </w:p>
          <w:p w14:paraId="6E406CE9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leisti arba blokuoti specifinių prievadų naudojimą.</w:t>
            </w:r>
          </w:p>
          <w:p w14:paraId="389F22F4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leisti arba blokuoti specifinių įrenginių per specifinius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prieavadus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naudojimą. Pvz.: apriboti PS2 klaviatūrų naudojimą.</w:t>
            </w:r>
          </w:p>
          <w:p w14:paraId="4C0CAB4E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leisti tik patvirtintus įrenginius pagal serijos numerius ir tipus.</w:t>
            </w:r>
          </w:p>
        </w:tc>
        <w:tc>
          <w:tcPr>
            <w:tcW w:w="1295" w:type="pct"/>
          </w:tcPr>
          <w:p w14:paraId="3C90226F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5DB8C008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0BA88D7B" w14:textId="44E27EA1" w:rsidTr="00CA31CC">
        <w:tc>
          <w:tcPr>
            <w:tcW w:w="465" w:type="pct"/>
            <w:vAlign w:val="center"/>
          </w:tcPr>
          <w:p w14:paraId="3B43A530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D24E5E0" w14:textId="0C721FF4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Darbo vietų ugniasienė</w:t>
            </w:r>
          </w:p>
        </w:tc>
        <w:tc>
          <w:tcPr>
            <w:tcW w:w="1296" w:type="pct"/>
            <w:vAlign w:val="center"/>
          </w:tcPr>
          <w:p w14:paraId="7B938821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Įeinančio ir išeinančio srauto kontrolė IP adresams, jų rėžiams, protokolams, prievadams;</w:t>
            </w:r>
          </w:p>
          <w:p w14:paraId="65DA5E4F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Centralizuotas ugniasienės politikos valdymas per vartotojus ir jų grupes;</w:t>
            </w:r>
          </w:p>
          <w:p w14:paraId="0560F483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Galimybe kurti kelias politikas, galiojančias kompiuteriui esant vidiniame tinkle ir už jo ribos;</w:t>
            </w:r>
          </w:p>
          <w:p w14:paraId="73910A12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Darbo vietos atitikties vertinimas pagal programinės įrangos versiją, operacinės sistemos atnaujinimus, neleistinų aplikacijų naudojimą, žinomus su kompiuteriu susijusius incidentus. Ribotos ugniasienės politikos pritaikymas neatitinkantiems įrenginiams;</w:t>
            </w:r>
          </w:p>
          <w:p w14:paraId="1E3C557E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aptikti viešosios prieigos tinklus, bei taikyti ugniasienės išimtis WEB autentifikacijai.</w:t>
            </w:r>
          </w:p>
        </w:tc>
        <w:tc>
          <w:tcPr>
            <w:tcW w:w="1295" w:type="pct"/>
          </w:tcPr>
          <w:p w14:paraId="2930DE09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4020D096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2A7D7341" w14:textId="79E55519" w:rsidTr="00CA31CC">
        <w:tc>
          <w:tcPr>
            <w:tcW w:w="465" w:type="pct"/>
            <w:vAlign w:val="center"/>
          </w:tcPr>
          <w:p w14:paraId="5C485ED4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5F6ADF3A" w14:textId="2C6DD431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Aplikacijų kontrolė</w:t>
            </w:r>
          </w:p>
        </w:tc>
        <w:tc>
          <w:tcPr>
            <w:tcW w:w="1296" w:type="pct"/>
            <w:vAlign w:val="center"/>
          </w:tcPr>
          <w:p w14:paraId="2202A9B6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Aplikacijų generuojamo srautų kontrolė, leidžiant/neleidžiant konkrečios aplikacijos srautus;</w:t>
            </w:r>
          </w:p>
          <w:p w14:paraId="5B356556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Aplikacijų paleidimo kontrolė, leidžiant/neleidžiant paleisti konkrečias aplikacijas.</w:t>
            </w:r>
          </w:p>
        </w:tc>
        <w:tc>
          <w:tcPr>
            <w:tcW w:w="1295" w:type="pct"/>
          </w:tcPr>
          <w:p w14:paraId="1591C10F" w14:textId="77777777" w:rsidR="0090763B" w:rsidRPr="0084414B" w:rsidRDefault="0090763B" w:rsidP="00A10BBB">
            <w:pPr>
              <w:suppressAutoHyphens/>
              <w:ind w:left="3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6DFE993D" w14:textId="77777777" w:rsidR="0090763B" w:rsidRPr="0084414B" w:rsidRDefault="0090763B" w:rsidP="00A10BBB">
            <w:pPr>
              <w:suppressAutoHyphens/>
              <w:ind w:left="36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2DEC4BF9" w14:textId="34B5496A" w:rsidTr="00CA31CC">
        <w:tc>
          <w:tcPr>
            <w:tcW w:w="465" w:type="pct"/>
            <w:vAlign w:val="center"/>
          </w:tcPr>
          <w:p w14:paraId="29BB4461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103B06D2" w14:textId="7E997AAE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Apsaugą nuo elektroninio sukčiavimo (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Phishing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1296" w:type="pct"/>
            <w:vAlign w:val="center"/>
          </w:tcPr>
          <w:p w14:paraId="43816800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Apsauga nuo žinomų ir nežinomų elektroninio sukčiavimo svetainių ir jų turinio;</w:t>
            </w:r>
          </w:p>
          <w:p w14:paraId="567FAD4D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Nežinomų elektroninio sukčiavimo svetainių aptikimas pagal: IP ir domeno reputaciją, pateikiamų duomenų (URL, teksto, išvaizdos URL) panašumus su žinomomis svetainėmis;</w:t>
            </w:r>
          </w:p>
          <w:p w14:paraId="7B2852FD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Duomenų įvesties blokavimas įtartinoms ir žinomoms elektroninio sukčiavimo svetainėms.</w:t>
            </w:r>
          </w:p>
          <w:p w14:paraId="5504A2F4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Pranešimų vartotojui apie įtartiną turinį svetainėse pateikimas.</w:t>
            </w:r>
          </w:p>
        </w:tc>
        <w:tc>
          <w:tcPr>
            <w:tcW w:w="1295" w:type="pct"/>
          </w:tcPr>
          <w:p w14:paraId="32B6DA6A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29CE3BBB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71EDD184" w14:textId="1ECA8AF5" w:rsidTr="00CA31CC">
        <w:tc>
          <w:tcPr>
            <w:tcW w:w="465" w:type="pct"/>
            <w:vAlign w:val="center"/>
          </w:tcPr>
          <w:p w14:paraId="5D2B676C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652B7D83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Apsaugos nuo pažeidžiamumų išnaudojimo grėsmių (angl.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Exploit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) funkcionalumas</w:t>
            </w:r>
          </w:p>
        </w:tc>
        <w:tc>
          <w:tcPr>
            <w:tcW w:w="1296" w:type="pct"/>
            <w:vAlign w:val="center"/>
          </w:tcPr>
          <w:p w14:paraId="507AFE47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Apsauga nuo programinės įrangos pažeidžiamumų išnaudojimo.</w:t>
            </w:r>
          </w:p>
          <w:p w14:paraId="1979D505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automatiškai išjungti programinę įrangą, kurios pažeidžiamumus bandoma išnaudoti.</w:t>
            </w:r>
          </w:p>
        </w:tc>
        <w:tc>
          <w:tcPr>
            <w:tcW w:w="1295" w:type="pct"/>
          </w:tcPr>
          <w:p w14:paraId="2F5479BD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5B418B21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5421C539" w14:textId="56D4366A" w:rsidTr="00CA31CC">
        <w:tc>
          <w:tcPr>
            <w:tcW w:w="465" w:type="pct"/>
            <w:vAlign w:val="center"/>
          </w:tcPr>
          <w:p w14:paraId="4B8BB7B4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4A134CE1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Apsaugos nuo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tipo duomenis užkoduojančių virusų funkcionalumas</w:t>
            </w:r>
          </w:p>
        </w:tc>
        <w:tc>
          <w:tcPr>
            <w:tcW w:w="1296" w:type="pct"/>
            <w:vAlign w:val="center"/>
          </w:tcPr>
          <w:p w14:paraId="6179416E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Apsauga nuo žinomų ir nežinomų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tipo virusų.</w:t>
            </w:r>
          </w:p>
          <w:p w14:paraId="03D0162C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tipo virusų atpažinimas pagal veikimo modelius.</w:t>
            </w:r>
          </w:p>
          <w:p w14:paraId="60EF371A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automatiškai atstatyti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atakos metu užkoduotus failus. Programinė įranga turi kaupti keičiamų failų atsargines kopijas saugiame aplanke tame pačiame įrenginyje ir įvykus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ransomware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atakai pakeistus/prarastus failus atstatyti iš šio aplanko.</w:t>
            </w:r>
          </w:p>
        </w:tc>
        <w:tc>
          <w:tcPr>
            <w:tcW w:w="1295" w:type="pct"/>
          </w:tcPr>
          <w:p w14:paraId="6011C207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26386E6E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76532EED" w14:textId="09E50C74" w:rsidTr="00CA31CC">
        <w:tc>
          <w:tcPr>
            <w:tcW w:w="465" w:type="pct"/>
            <w:vAlign w:val="center"/>
          </w:tcPr>
          <w:p w14:paraId="2E980150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1877193B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Apsaugos nuo grėsmių pagal tipinius žalingo kodo veikimo modelius funkcionalumas</w:t>
            </w:r>
          </w:p>
        </w:tc>
        <w:tc>
          <w:tcPr>
            <w:tcW w:w="1296" w:type="pct"/>
            <w:vAlign w:val="center"/>
          </w:tcPr>
          <w:p w14:paraId="2C0FA4A2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Grėsmių aptikimas, klasifikavimas bei blokavimas pagal veikimo modelius.</w:t>
            </w:r>
          </w:p>
          <w:p w14:paraId="6F2B972B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Žalingų rašmenų (angl.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Script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) aptikimas ir blokavimas.</w:t>
            </w:r>
          </w:p>
        </w:tc>
        <w:tc>
          <w:tcPr>
            <w:tcW w:w="1295" w:type="pct"/>
          </w:tcPr>
          <w:p w14:paraId="4AEF9950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  <w:tc>
          <w:tcPr>
            <w:tcW w:w="1295" w:type="pct"/>
          </w:tcPr>
          <w:p w14:paraId="331B7DAE" w14:textId="77777777" w:rsidR="0090763B" w:rsidRPr="0084414B" w:rsidRDefault="0090763B" w:rsidP="00A10BBB">
            <w:pPr>
              <w:pStyle w:val="ListParagraph"/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</w:p>
        </w:tc>
      </w:tr>
      <w:tr w:rsidR="0090763B" w:rsidRPr="0084414B" w14:paraId="23B8897E" w14:textId="6E6D0053" w:rsidTr="00CA31CC">
        <w:tc>
          <w:tcPr>
            <w:tcW w:w="465" w:type="pct"/>
            <w:vAlign w:val="center"/>
          </w:tcPr>
          <w:p w14:paraId="703C1FEC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4DA19B3E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Apsaugos nuo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botnet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tinklų kenkėjiškos programinės įrangos funkcionalumas</w:t>
            </w:r>
          </w:p>
        </w:tc>
        <w:tc>
          <w:tcPr>
            <w:tcW w:w="1296" w:type="pct"/>
            <w:vAlign w:val="center"/>
          </w:tcPr>
          <w:p w14:paraId="4BCD72C3" w14:textId="77777777" w:rsidR="0090763B" w:rsidRPr="0084414B" w:rsidRDefault="0090763B" w:rsidP="005F700A">
            <w:pPr>
              <w:pStyle w:val="ListParagraph"/>
              <w:ind w:left="0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Žinomų ir nežinomų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botnet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tinklų kenkėjiškos programinės įrangos aptikimas pagal veiklos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požymus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>, ir jos blokavimas.</w:t>
            </w:r>
          </w:p>
        </w:tc>
        <w:tc>
          <w:tcPr>
            <w:tcW w:w="1295" w:type="pct"/>
          </w:tcPr>
          <w:p w14:paraId="02DF7C2C" w14:textId="77777777" w:rsidR="0090763B" w:rsidRPr="0084414B" w:rsidRDefault="0090763B" w:rsidP="005F700A">
            <w:pPr>
              <w:pStyle w:val="ListParagraph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66B25454" w14:textId="77777777" w:rsidR="0090763B" w:rsidRPr="0084414B" w:rsidRDefault="0090763B" w:rsidP="005F700A">
            <w:pPr>
              <w:pStyle w:val="ListParagraph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3ECF7D48" w14:textId="34EB2016" w:rsidTr="00CA31CC">
        <w:tc>
          <w:tcPr>
            <w:tcW w:w="465" w:type="pct"/>
            <w:vAlign w:val="center"/>
          </w:tcPr>
          <w:p w14:paraId="797F7AC4" w14:textId="77777777" w:rsidR="0090763B" w:rsidRPr="0084414B" w:rsidRDefault="0090763B" w:rsidP="002D5120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A95A2CC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Incidentų analizės įrankio funkcionalumas</w:t>
            </w:r>
          </w:p>
        </w:tc>
        <w:tc>
          <w:tcPr>
            <w:tcW w:w="1296" w:type="pct"/>
            <w:vAlign w:val="center"/>
          </w:tcPr>
          <w:p w14:paraId="49932DAC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Galimybė aprašyti savo incidentų aprašus (angl.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IoC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,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indicators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of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 xml:space="preserve"> </w:t>
            </w:r>
            <w:proofErr w:type="spellStart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compromise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).</w:t>
            </w:r>
          </w:p>
          <w:p w14:paraId="2E4BF6DA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po incidento nustatyti žalą (duomenų nutekėjimą, užšifruotus duomenis, įvesties duomenų fiksavimo atvejus ir pan.).</w:t>
            </w:r>
          </w:p>
          <w:p w14:paraId="3349DB18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atsekti visą incidento eigą, nuo ištakų ir priežasčių iki pasekmių.</w:t>
            </w:r>
          </w:p>
          <w:p w14:paraId="3366EFA7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  <w:lang w:eastAsia="lt-LT"/>
              </w:rPr>
              <w:t>Galimybė incidento eigą atvaizduoti grafiškai.</w:t>
            </w:r>
          </w:p>
          <w:p w14:paraId="0F049B89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Incidentų atvaizdavimas MITRE matricoje.</w:t>
            </w:r>
          </w:p>
        </w:tc>
        <w:tc>
          <w:tcPr>
            <w:tcW w:w="1295" w:type="pct"/>
          </w:tcPr>
          <w:p w14:paraId="13D0E9D4" w14:textId="77777777" w:rsidR="0090763B" w:rsidRPr="0084414B" w:rsidRDefault="0090763B" w:rsidP="00A10BBB">
            <w:pPr>
              <w:suppressAutoHyphens/>
              <w:ind w:left="3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95" w:type="pct"/>
          </w:tcPr>
          <w:p w14:paraId="3B3AC36F" w14:textId="77777777" w:rsidR="0090763B" w:rsidRPr="0084414B" w:rsidRDefault="0090763B" w:rsidP="00A10BBB">
            <w:pPr>
              <w:suppressAutoHyphens/>
              <w:ind w:left="36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763B" w:rsidRPr="0084414B" w14:paraId="5196D328" w14:textId="3525E59D" w:rsidTr="00CA31CC">
        <w:tc>
          <w:tcPr>
            <w:tcW w:w="465" w:type="pct"/>
            <w:vAlign w:val="center"/>
          </w:tcPr>
          <w:p w14:paraId="39061AEF" w14:textId="01662FF6" w:rsidR="0090763B" w:rsidRPr="0084414B" w:rsidRDefault="0090763B" w:rsidP="002D5120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 xml:space="preserve">       2.2.21</w:t>
            </w:r>
          </w:p>
        </w:tc>
        <w:tc>
          <w:tcPr>
            <w:tcW w:w="648" w:type="pct"/>
            <w:vAlign w:val="center"/>
          </w:tcPr>
          <w:p w14:paraId="3A440C41" w14:textId="77777777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Grėsmių paieškos funkcionalumas</w:t>
            </w:r>
          </w:p>
        </w:tc>
        <w:tc>
          <w:tcPr>
            <w:tcW w:w="1296" w:type="pct"/>
            <w:vAlign w:val="center"/>
          </w:tcPr>
          <w:p w14:paraId="5F96F3C0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Sprendimas turi turėti grėsmių paieškos funkcionalumą, apimantį paiešką įvykių duomenų bazėje pagal:</w:t>
            </w:r>
          </w:p>
          <w:p w14:paraId="3D11FA4C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Proceso duomenis;</w:t>
            </w:r>
          </w:p>
          <w:p w14:paraId="75BBFE83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Aptikimo įvykio duomenis;</w:t>
            </w:r>
          </w:p>
          <w:p w14:paraId="481FDDAD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Failo duomenis;</w:t>
            </w:r>
          </w:p>
          <w:p w14:paraId="098819E1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Tinklo veiklos duomenis;</w:t>
            </w:r>
          </w:p>
          <w:p w14:paraId="45559305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Registrų pakeitimų duomenis;</w:t>
            </w:r>
          </w:p>
          <w:p w14:paraId="7EF60F30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Prisijungimo/atsijungimo įvykius;</w:t>
            </w:r>
          </w:p>
          <w:p w14:paraId="40B1A59D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Paleistų rašmenų (</w:t>
            </w:r>
            <w:proofErr w:type="spellStart"/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script</w:t>
            </w:r>
            <w:proofErr w:type="spellEnd"/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) duomenis;</w:t>
            </w:r>
          </w:p>
          <w:p w14:paraId="7A2B5791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Nuotolinio paleidimo informaciją;</w:t>
            </w:r>
          </w:p>
          <w:p w14:paraId="6BCB4637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El. laiškų duomenis;</w:t>
            </w:r>
          </w:p>
          <w:p w14:paraId="7051A596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Aplikacijų duomenis.</w:t>
            </w:r>
          </w:p>
          <w:p w14:paraId="074A6435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  <w:p w14:paraId="4BF2EA58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Grėsmių paieškos funkcionalumas turi apimti:</w:t>
            </w:r>
          </w:p>
          <w:p w14:paraId="41150870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Paiešką pagal daugybę parametrų vienu metu;</w:t>
            </w:r>
          </w:p>
          <w:p w14:paraId="5EF17BB0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Galimybę išsaugoti paieškos formą;</w:t>
            </w:r>
          </w:p>
          <w:p w14:paraId="71230852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Galimybę išsaugotoms paieškos formoms formuoti automatinius pranešimus priskirtiems administratoriams;</w:t>
            </w:r>
          </w:p>
          <w:p w14:paraId="68031584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Gamintojo pateikiamų paieškos formų grafinį atvaizdavimą, pvz.: aktyvių atakų, užblokuotų atakų, žalingų failų.</w:t>
            </w:r>
          </w:p>
          <w:p w14:paraId="595D602A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Grėsmių paieškos funkcionalumas turi leisti šiuos veiksmus su paveiktais įrenginiais:</w:t>
            </w:r>
          </w:p>
          <w:p w14:paraId="6E3F04B8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Izoliuoti užkrėstas darbo vietas;</w:t>
            </w:r>
          </w:p>
          <w:p w14:paraId="02A50268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proofErr w:type="spellStart"/>
            <w:r w:rsidRPr="0084414B">
              <w:rPr>
                <w:rFonts w:asciiTheme="minorHAnsi" w:hAnsiTheme="minorHAnsi" w:cstheme="minorHAnsi"/>
                <w:szCs w:val="24"/>
              </w:rPr>
              <w:t>Karantinuoti</w:t>
            </w:r>
            <w:proofErr w:type="spellEnd"/>
            <w:r w:rsidRPr="0084414B">
              <w:rPr>
                <w:rFonts w:asciiTheme="minorHAnsi" w:hAnsiTheme="minorHAnsi" w:cstheme="minorHAnsi"/>
                <w:szCs w:val="24"/>
              </w:rPr>
              <w:t xml:space="preserve"> užkrėstus failus, naikinti žalingus procesus;</w:t>
            </w:r>
          </w:p>
          <w:p w14:paraId="0F59F121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Įjungti ekspertizės įrašo sukūrimą (</w:t>
            </w:r>
            <w:proofErr w:type="spellStart"/>
            <w:r w:rsidRPr="0084414B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forensic</w:t>
            </w:r>
            <w:proofErr w:type="spellEnd"/>
            <w:r w:rsidRPr="0084414B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 xml:space="preserve"> </w:t>
            </w:r>
            <w:proofErr w:type="spellStart"/>
            <w:r w:rsidRPr="0084414B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record</w:t>
            </w:r>
            <w:proofErr w:type="spellEnd"/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) susijusiam procesui darbo vietoje.</w:t>
            </w:r>
          </w:p>
          <w:p w14:paraId="08842BF4" w14:textId="77777777" w:rsidR="0090763B" w:rsidRPr="0084414B" w:rsidRDefault="0090763B" w:rsidP="00A10BBB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uppressAutoHyphens/>
              <w:jc w:val="left"/>
              <w:rPr>
                <w:rFonts w:asciiTheme="minorHAnsi" w:hAnsiTheme="minorHAnsi" w:cstheme="minorHAnsi"/>
                <w:szCs w:val="24"/>
                <w:lang w:eastAsia="lt-LT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>Peržiūrėti sukurtą susijusį ekspertizės įrašą.</w:t>
            </w:r>
          </w:p>
        </w:tc>
        <w:tc>
          <w:tcPr>
            <w:tcW w:w="1295" w:type="pct"/>
          </w:tcPr>
          <w:p w14:paraId="356584FB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95" w:type="pct"/>
          </w:tcPr>
          <w:p w14:paraId="09E67A47" w14:textId="77777777" w:rsidR="0090763B" w:rsidRPr="0084414B" w:rsidRDefault="0090763B" w:rsidP="005F700A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90763B" w:rsidRPr="0084414B" w14:paraId="2975181C" w14:textId="5B0B2A30" w:rsidTr="00CA31CC">
        <w:tc>
          <w:tcPr>
            <w:tcW w:w="465" w:type="pct"/>
            <w:vAlign w:val="center"/>
          </w:tcPr>
          <w:p w14:paraId="742494B4" w14:textId="5B03A43D" w:rsidR="0090763B" w:rsidRPr="0084414B" w:rsidRDefault="0090763B" w:rsidP="002D5120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2.2.2</w:t>
            </w: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648" w:type="pct"/>
            <w:vAlign w:val="center"/>
          </w:tcPr>
          <w:p w14:paraId="3A69B547" w14:textId="5CB82035" w:rsidR="0090763B" w:rsidRPr="0084414B" w:rsidRDefault="0090763B" w:rsidP="005F700A">
            <w:pPr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Nuomos  teikimo laikotarpis ir gamintojo įsipareigojimai</w:t>
            </w:r>
          </w:p>
        </w:tc>
        <w:tc>
          <w:tcPr>
            <w:tcW w:w="1296" w:type="pct"/>
            <w:vAlign w:val="center"/>
          </w:tcPr>
          <w:p w14:paraId="045C3040" w14:textId="38DF68B1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84414B">
              <w:rPr>
                <w:rFonts w:asciiTheme="minorHAnsi" w:hAnsiTheme="minorHAnsi" w:cstheme="minorHAnsi"/>
                <w:color w:val="000000"/>
                <w:szCs w:val="24"/>
              </w:rPr>
              <w:t xml:space="preserve">Nuoma  turi būti teikiama 36 mėn. laikotarpyje (nuo 2025-12-30). </w:t>
            </w:r>
          </w:p>
          <w:p w14:paraId="5FB3B75A" w14:textId="55202D54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Nuomos palaikymas visą nuomos teikimo laikotarpį. Teisė kreiptis į gamintoją iškilus problemai (produkto naudojimo, konfigūravimo ir problemų sprendimo klausimais) darbo dienomis, internetu, elektroniniu paštu, faksu arba telefonu.</w:t>
            </w:r>
          </w:p>
          <w:p w14:paraId="0C8DE911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Į pasiūlymą turi būti įtrauktos visos reikiamos licencijos išvardintam funkcionalumui įgyvendinti visam laikotarpiui.</w:t>
            </w:r>
          </w:p>
          <w:p w14:paraId="3B32DDD5" w14:textId="77777777" w:rsidR="0090763B" w:rsidRPr="0084414B" w:rsidRDefault="0090763B" w:rsidP="00A10BBB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Theme="minorHAnsi" w:hAnsiTheme="minorHAnsi" w:cstheme="minorHAnsi"/>
                <w:szCs w:val="24"/>
              </w:rPr>
            </w:pPr>
            <w:r w:rsidRPr="0084414B">
              <w:rPr>
                <w:rFonts w:asciiTheme="minorHAnsi" w:hAnsiTheme="minorHAnsi" w:cstheme="minorHAnsi"/>
                <w:szCs w:val="24"/>
              </w:rPr>
              <w:t>Prieiga prie gamintojo internetiniame puslapyje esančių techninių resursų, tarp jų ir instrukcijų bei programinės įrangos bibliotekos.</w:t>
            </w:r>
          </w:p>
        </w:tc>
        <w:tc>
          <w:tcPr>
            <w:tcW w:w="1295" w:type="pct"/>
          </w:tcPr>
          <w:p w14:paraId="21018AD5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1295" w:type="pct"/>
          </w:tcPr>
          <w:p w14:paraId="565E651A" w14:textId="77777777" w:rsidR="0090763B" w:rsidRPr="0084414B" w:rsidRDefault="0090763B" w:rsidP="00A10BBB">
            <w:pPr>
              <w:pStyle w:val="ListParagraph"/>
              <w:jc w:val="left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</w:tbl>
    <w:p w14:paraId="0C2ABAF3" w14:textId="77777777" w:rsidR="00A10BBB" w:rsidRDefault="00A10BBB" w:rsidP="00A10BBB">
      <w:pPr>
        <w:rPr>
          <w:rFonts w:asciiTheme="majorBidi" w:hAnsiTheme="majorBidi" w:cstheme="majorBidi"/>
          <w:szCs w:val="24"/>
        </w:rPr>
      </w:pPr>
    </w:p>
    <w:p w14:paraId="2802C9ED" w14:textId="77777777" w:rsidR="00A10BBB" w:rsidRPr="00EB5D58" w:rsidRDefault="00A10BBB" w:rsidP="00A10BBB">
      <w:pPr>
        <w:ind w:left="-426"/>
        <w:rPr>
          <w:rFonts w:asciiTheme="majorBidi" w:hAnsiTheme="majorBidi" w:cstheme="majorBidi"/>
          <w:szCs w:val="24"/>
        </w:rPr>
      </w:pPr>
    </w:p>
    <w:p w14:paraId="24B51876" w14:textId="77777777" w:rsidR="00E90065" w:rsidRPr="0011347C" w:rsidRDefault="00E90065" w:rsidP="00E90065">
      <w:pPr>
        <w:ind w:left="720"/>
        <w:contextualSpacing/>
        <w:jc w:val="center"/>
        <w:rPr>
          <w:rFonts w:asciiTheme="minorHAnsi" w:eastAsiaTheme="minorHAnsi" w:hAnsiTheme="minorHAnsi" w:cstheme="minorHAnsi"/>
          <w:b/>
          <w:bCs/>
          <w:caps/>
          <w:szCs w:val="24"/>
          <w:lang w:eastAsia="en-US"/>
        </w:rPr>
      </w:pPr>
    </w:p>
    <w:p w14:paraId="30CE55B8" w14:textId="77777777" w:rsidR="00A270D1" w:rsidRPr="00146749" w:rsidRDefault="00A270D1" w:rsidP="00A270D1">
      <w:pPr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76BB49C9" w14:textId="77777777" w:rsidR="00A270D1" w:rsidRPr="00146749" w:rsidRDefault="00A270D1" w:rsidP="00A270D1">
      <w:pPr>
        <w:rPr>
          <w:rFonts w:asciiTheme="minorHAnsi" w:eastAsiaTheme="minorEastAsia" w:hAnsiTheme="minorHAnsi" w:cstheme="minorHAnsi"/>
          <w:sz w:val="22"/>
          <w:szCs w:val="22"/>
        </w:rPr>
      </w:pPr>
    </w:p>
    <w:tbl>
      <w:tblPr>
        <w:tblW w:w="9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7"/>
        <w:gridCol w:w="1989"/>
        <w:gridCol w:w="704"/>
        <w:gridCol w:w="2667"/>
      </w:tblGrid>
      <w:tr w:rsidR="00A270D1" w:rsidRPr="00146749" w14:paraId="1C32DA1A" w14:textId="77777777" w:rsidTr="00B97523">
        <w:trPr>
          <w:trHeight w:val="186"/>
        </w:trPr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AA1FA" w14:textId="77777777" w:rsidR="00A270D1" w:rsidRPr="00146749" w:rsidRDefault="00A270D1" w:rsidP="00A270D1">
            <w:pPr>
              <w:rPr>
                <w:rFonts w:asciiTheme="minorHAnsi" w:eastAsiaTheme="minorEastAsia" w:hAnsiTheme="minorHAnsi" w:cstheme="minorHAnsi"/>
                <w:color w:val="808080" w:themeColor="background1" w:themeShade="80"/>
                <w:szCs w:val="24"/>
                <w:vertAlign w:val="superscript"/>
              </w:rPr>
            </w:pPr>
            <w:r w:rsidRPr="00146749">
              <w:rPr>
                <w:rFonts w:asciiTheme="minorHAnsi" w:eastAsiaTheme="minorEastAsia" w:hAnsiTheme="minorHAnsi" w:cstheme="minorHAnsi"/>
                <w:i/>
                <w:color w:val="808080" w:themeColor="background1" w:themeShade="80"/>
                <w:szCs w:val="24"/>
                <w:vertAlign w:val="superscript"/>
              </w:rPr>
              <w:t>(Tiekėjo arba jo įgalioto asmens pareigų pavadinimas)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14:paraId="54F4B455" w14:textId="77777777" w:rsidR="00A270D1" w:rsidRPr="00146749" w:rsidRDefault="00A270D1" w:rsidP="00A270D1">
            <w:pPr>
              <w:rPr>
                <w:rFonts w:asciiTheme="minorHAnsi" w:eastAsiaTheme="minorEastAsia" w:hAnsiTheme="minorHAnsi" w:cstheme="minorHAnsi"/>
                <w:color w:val="808080" w:themeColor="background1" w:themeShade="80"/>
                <w:szCs w:val="24"/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B709C7" w14:textId="77777777" w:rsidR="00A270D1" w:rsidRPr="00146749" w:rsidRDefault="00A270D1" w:rsidP="00A270D1">
            <w:pPr>
              <w:jc w:val="center"/>
              <w:rPr>
                <w:rFonts w:asciiTheme="minorHAnsi" w:eastAsiaTheme="minorEastAsia" w:hAnsiTheme="minorHAnsi" w:cstheme="minorHAnsi"/>
                <w:color w:val="808080" w:themeColor="background1" w:themeShade="80"/>
                <w:szCs w:val="24"/>
                <w:vertAlign w:val="superscript"/>
              </w:rPr>
            </w:pPr>
            <w:r w:rsidRPr="00146749">
              <w:rPr>
                <w:rFonts w:asciiTheme="minorHAnsi" w:eastAsiaTheme="minorEastAsia" w:hAnsiTheme="minorHAnsi" w:cstheme="minorHAnsi"/>
                <w:i/>
                <w:color w:val="808080" w:themeColor="background1" w:themeShade="80"/>
                <w:szCs w:val="24"/>
                <w:vertAlign w:val="superscript"/>
              </w:rPr>
              <w:t>(Parašas)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14:paraId="6AFEFC85" w14:textId="77777777" w:rsidR="00A270D1" w:rsidRPr="00146749" w:rsidRDefault="00A270D1" w:rsidP="00A270D1">
            <w:pPr>
              <w:rPr>
                <w:rFonts w:asciiTheme="minorHAnsi" w:eastAsiaTheme="minorEastAsia" w:hAnsiTheme="minorHAnsi" w:cstheme="minorHAnsi"/>
                <w:color w:val="808080" w:themeColor="background1" w:themeShade="80"/>
                <w:szCs w:val="24"/>
                <w:vertAlign w:val="superscript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2A635D" w14:textId="77777777" w:rsidR="00A270D1" w:rsidRPr="00146749" w:rsidRDefault="00A270D1" w:rsidP="00A270D1">
            <w:pPr>
              <w:jc w:val="right"/>
              <w:rPr>
                <w:rFonts w:asciiTheme="minorHAnsi" w:eastAsiaTheme="minorEastAsia" w:hAnsiTheme="minorHAnsi" w:cstheme="minorHAnsi"/>
                <w:color w:val="808080" w:themeColor="background1" w:themeShade="80"/>
                <w:szCs w:val="24"/>
                <w:vertAlign w:val="superscript"/>
              </w:rPr>
            </w:pPr>
            <w:r w:rsidRPr="00146749">
              <w:rPr>
                <w:rFonts w:asciiTheme="minorHAnsi" w:eastAsiaTheme="minorEastAsia" w:hAnsiTheme="minorHAnsi" w:cstheme="minorHAnsi"/>
                <w:i/>
                <w:color w:val="808080" w:themeColor="background1" w:themeShade="80"/>
                <w:szCs w:val="24"/>
                <w:vertAlign w:val="superscript"/>
              </w:rPr>
              <w:t>(Vardas, pavardė)</w:t>
            </w:r>
          </w:p>
        </w:tc>
      </w:tr>
    </w:tbl>
    <w:p w14:paraId="471871C4" w14:textId="77777777" w:rsidR="002459EF" w:rsidRPr="00146749" w:rsidRDefault="002459EF">
      <w:pPr>
        <w:jc w:val="center"/>
        <w:rPr>
          <w:rFonts w:asciiTheme="minorHAnsi" w:eastAsiaTheme="minorEastAsia" w:hAnsiTheme="minorHAnsi" w:cstheme="minorHAnsi"/>
          <w:b/>
          <w:sz w:val="21"/>
          <w:szCs w:val="21"/>
        </w:rPr>
      </w:pPr>
    </w:p>
    <w:sectPr w:rsidR="002459EF" w:rsidRPr="00146749" w:rsidSect="00820A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701" w:right="1701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AD7F3" w14:textId="77777777" w:rsidR="00992B6F" w:rsidRDefault="00992B6F" w:rsidP="00D31CC7">
      <w:r>
        <w:separator/>
      </w:r>
    </w:p>
  </w:endnote>
  <w:endnote w:type="continuationSeparator" w:id="0">
    <w:p w14:paraId="690D7561" w14:textId="77777777" w:rsidR="00992B6F" w:rsidRDefault="00992B6F" w:rsidP="00D3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202060305040502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A073D" w14:textId="77777777" w:rsidR="00D31CC7" w:rsidRDefault="00D31C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9357113"/>
      <w:docPartObj>
        <w:docPartGallery w:val="Page Numbers (Bottom of Page)"/>
        <w:docPartUnique/>
      </w:docPartObj>
    </w:sdtPr>
    <w:sdtEndPr/>
    <w:sdtContent>
      <w:p w14:paraId="4195420E" w14:textId="123EF6C3" w:rsidR="00D31CC7" w:rsidRDefault="00D31CC7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73385B" w14:textId="77777777" w:rsidR="00D31CC7" w:rsidRDefault="00D31C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6439" w14:textId="77777777" w:rsidR="00D31CC7" w:rsidRDefault="00D31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13A8A" w14:textId="77777777" w:rsidR="00992B6F" w:rsidRDefault="00992B6F" w:rsidP="00D31CC7">
      <w:r>
        <w:separator/>
      </w:r>
    </w:p>
  </w:footnote>
  <w:footnote w:type="continuationSeparator" w:id="0">
    <w:p w14:paraId="2ACF672F" w14:textId="77777777" w:rsidR="00992B6F" w:rsidRDefault="00992B6F" w:rsidP="00D31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119B0" w14:textId="77777777" w:rsidR="00D31CC7" w:rsidRDefault="00D31C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F098B" w14:textId="77777777" w:rsidR="00D31CC7" w:rsidRDefault="00D31C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BD5F7" w14:textId="77777777" w:rsidR="00D31CC7" w:rsidRDefault="00D31C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FA3"/>
    <w:multiLevelType w:val="multilevel"/>
    <w:tmpl w:val="FE3A9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CB3AC1"/>
    <w:multiLevelType w:val="multilevel"/>
    <w:tmpl w:val="96D03D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FB7A54"/>
    <w:multiLevelType w:val="hybridMultilevel"/>
    <w:tmpl w:val="140447B2"/>
    <w:lvl w:ilvl="0" w:tplc="E8801F94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14D"/>
    <w:multiLevelType w:val="hybridMultilevel"/>
    <w:tmpl w:val="506A49D8"/>
    <w:lvl w:ilvl="0" w:tplc="042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E5C85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D094F"/>
    <w:multiLevelType w:val="hybridMultilevel"/>
    <w:tmpl w:val="9B9C56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C1CD9"/>
    <w:multiLevelType w:val="hybridMultilevel"/>
    <w:tmpl w:val="6DFE2578"/>
    <w:lvl w:ilvl="0" w:tplc="CCD81CB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62955"/>
    <w:multiLevelType w:val="hybridMultilevel"/>
    <w:tmpl w:val="B72485B8"/>
    <w:lvl w:ilvl="0" w:tplc="829AB1F2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D47CD"/>
    <w:multiLevelType w:val="hybridMultilevel"/>
    <w:tmpl w:val="9B9C56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C043A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210AC"/>
    <w:multiLevelType w:val="multilevel"/>
    <w:tmpl w:val="D86AF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1534422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111F3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E0F96"/>
    <w:multiLevelType w:val="hybridMultilevel"/>
    <w:tmpl w:val="BC5E1C50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11F3B"/>
    <w:multiLevelType w:val="hybridMultilevel"/>
    <w:tmpl w:val="B592162A"/>
    <w:lvl w:ilvl="0" w:tplc="A7DC0F38">
      <w:start w:val="1"/>
      <w:numFmt w:val="decimal"/>
      <w:lvlText w:val="2.%1"/>
      <w:lvlJc w:val="right"/>
      <w:pPr>
        <w:ind w:left="9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77CDD"/>
    <w:multiLevelType w:val="hybridMultilevel"/>
    <w:tmpl w:val="147081AA"/>
    <w:lvl w:ilvl="0" w:tplc="F03261DC">
      <w:start w:val="1"/>
      <w:numFmt w:val="decimal"/>
      <w:lvlText w:val="2.1.%1"/>
      <w:lvlJc w:val="righ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A2C1E"/>
    <w:multiLevelType w:val="multilevel"/>
    <w:tmpl w:val="C70A5D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8E2FE2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817B5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B357B9"/>
    <w:multiLevelType w:val="hybridMultilevel"/>
    <w:tmpl w:val="5D18FE54"/>
    <w:lvl w:ilvl="0" w:tplc="6AB8A280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C1EA5"/>
    <w:multiLevelType w:val="hybridMultilevel"/>
    <w:tmpl w:val="DC8433F6"/>
    <w:lvl w:ilvl="0" w:tplc="686A310E">
      <w:start w:val="3"/>
      <w:numFmt w:val="bullet"/>
      <w:lvlText w:val="–"/>
      <w:lvlJc w:val="left"/>
      <w:pPr>
        <w:ind w:left="720" w:hanging="360"/>
      </w:pPr>
      <w:rPr>
        <w:rFonts w:ascii="Courier" w:hAnsi="Courier" w:hint="default"/>
        <w:b w:val="0"/>
        <w:i w:val="0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A0BC3"/>
    <w:multiLevelType w:val="hybridMultilevel"/>
    <w:tmpl w:val="BC5E1C50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E2C90"/>
    <w:multiLevelType w:val="multilevel"/>
    <w:tmpl w:val="042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32B094F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D12B6"/>
    <w:multiLevelType w:val="hybridMultilevel"/>
    <w:tmpl w:val="AD68F452"/>
    <w:lvl w:ilvl="0" w:tplc="A39ADCA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706038"/>
    <w:multiLevelType w:val="hybridMultilevel"/>
    <w:tmpl w:val="9B9C56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63E68"/>
    <w:multiLevelType w:val="hybridMultilevel"/>
    <w:tmpl w:val="2CBEF17C"/>
    <w:lvl w:ilvl="0" w:tplc="042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F6EBD"/>
    <w:multiLevelType w:val="hybridMultilevel"/>
    <w:tmpl w:val="33CC948E"/>
    <w:lvl w:ilvl="0" w:tplc="0427000F">
      <w:start w:val="1"/>
      <w:numFmt w:val="decimal"/>
      <w:lvlText w:val="%1."/>
      <w:lvlJc w:val="left"/>
      <w:pPr>
        <w:ind w:left="971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B51A2"/>
    <w:multiLevelType w:val="hybridMultilevel"/>
    <w:tmpl w:val="EE62C746"/>
    <w:lvl w:ilvl="0" w:tplc="34C287EC">
      <w:start w:val="1"/>
      <w:numFmt w:val="decimal"/>
      <w:lvlText w:val="2.2.%1"/>
      <w:lvlJc w:val="right"/>
      <w:pPr>
        <w:ind w:left="133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7"/>
  </w:num>
  <w:num w:numId="5">
    <w:abstractNumId w:val="25"/>
  </w:num>
  <w:num w:numId="6">
    <w:abstractNumId w:val="20"/>
  </w:num>
  <w:num w:numId="7">
    <w:abstractNumId w:val="6"/>
  </w:num>
  <w:num w:numId="8">
    <w:abstractNumId w:val="24"/>
  </w:num>
  <w:num w:numId="9">
    <w:abstractNumId w:val="23"/>
  </w:num>
  <w:num w:numId="10">
    <w:abstractNumId w:val="2"/>
  </w:num>
  <w:num w:numId="11">
    <w:abstractNumId w:val="12"/>
  </w:num>
  <w:num w:numId="12">
    <w:abstractNumId w:val="19"/>
  </w:num>
  <w:num w:numId="13">
    <w:abstractNumId w:val="17"/>
  </w:num>
  <w:num w:numId="14">
    <w:abstractNumId w:val="11"/>
  </w:num>
  <w:num w:numId="15">
    <w:abstractNumId w:val="4"/>
  </w:num>
  <w:num w:numId="16">
    <w:abstractNumId w:val="10"/>
  </w:num>
  <w:num w:numId="17">
    <w:abstractNumId w:val="8"/>
  </w:num>
  <w:num w:numId="18">
    <w:abstractNumId w:val="22"/>
  </w:num>
  <w:num w:numId="19">
    <w:abstractNumId w:val="21"/>
  </w:num>
  <w:num w:numId="20">
    <w:abstractNumId w:val="13"/>
  </w:num>
  <w:num w:numId="21">
    <w:abstractNumId w:val="16"/>
  </w:num>
  <w:num w:numId="22">
    <w:abstractNumId w:val="3"/>
  </w:num>
  <w:num w:numId="23">
    <w:abstractNumId w:val="27"/>
  </w:num>
  <w:num w:numId="24">
    <w:abstractNumId w:val="26"/>
  </w:num>
  <w:num w:numId="25">
    <w:abstractNumId w:val="1"/>
  </w:num>
  <w:num w:numId="26">
    <w:abstractNumId w:val="0"/>
  </w:num>
  <w:num w:numId="27">
    <w:abstractNumId w:val="14"/>
  </w:num>
  <w:num w:numId="28">
    <w:abstractNumId w:val="28"/>
  </w:num>
  <w:num w:numId="29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22"/>
    <w:rsid w:val="0001318C"/>
    <w:rsid w:val="00017F2F"/>
    <w:rsid w:val="000200CF"/>
    <w:rsid w:val="00023917"/>
    <w:rsid w:val="00055E8E"/>
    <w:rsid w:val="0006182E"/>
    <w:rsid w:val="00065A64"/>
    <w:rsid w:val="00070FED"/>
    <w:rsid w:val="00075062"/>
    <w:rsid w:val="00092586"/>
    <w:rsid w:val="000A7124"/>
    <w:rsid w:val="000B20BD"/>
    <w:rsid w:val="001460FE"/>
    <w:rsid w:val="00146749"/>
    <w:rsid w:val="00151CD5"/>
    <w:rsid w:val="00163890"/>
    <w:rsid w:val="001A7EFC"/>
    <w:rsid w:val="001B3E70"/>
    <w:rsid w:val="001D5E06"/>
    <w:rsid w:val="001D7CBF"/>
    <w:rsid w:val="001E0721"/>
    <w:rsid w:val="001F0891"/>
    <w:rsid w:val="001F4D14"/>
    <w:rsid w:val="00214A79"/>
    <w:rsid w:val="00232B7A"/>
    <w:rsid w:val="002340DD"/>
    <w:rsid w:val="002406CD"/>
    <w:rsid w:val="00242F7C"/>
    <w:rsid w:val="002459EF"/>
    <w:rsid w:val="002558E2"/>
    <w:rsid w:val="0027228E"/>
    <w:rsid w:val="002925DA"/>
    <w:rsid w:val="002965E5"/>
    <w:rsid w:val="002A6981"/>
    <w:rsid w:val="002B58CA"/>
    <w:rsid w:val="002B6DF7"/>
    <w:rsid w:val="002C2D3B"/>
    <w:rsid w:val="002D5120"/>
    <w:rsid w:val="002D6EB9"/>
    <w:rsid w:val="002E5C28"/>
    <w:rsid w:val="002E6628"/>
    <w:rsid w:val="002F161F"/>
    <w:rsid w:val="003018CC"/>
    <w:rsid w:val="00302725"/>
    <w:rsid w:val="0031313C"/>
    <w:rsid w:val="00314750"/>
    <w:rsid w:val="00330488"/>
    <w:rsid w:val="00331CA0"/>
    <w:rsid w:val="0033593C"/>
    <w:rsid w:val="00341091"/>
    <w:rsid w:val="00343D2E"/>
    <w:rsid w:val="00346F4F"/>
    <w:rsid w:val="003560EA"/>
    <w:rsid w:val="003562CF"/>
    <w:rsid w:val="003645D0"/>
    <w:rsid w:val="0037266F"/>
    <w:rsid w:val="00376347"/>
    <w:rsid w:val="00376BA3"/>
    <w:rsid w:val="00376C20"/>
    <w:rsid w:val="0037771F"/>
    <w:rsid w:val="00382F1F"/>
    <w:rsid w:val="0038362B"/>
    <w:rsid w:val="003874F5"/>
    <w:rsid w:val="003A4616"/>
    <w:rsid w:val="003B026B"/>
    <w:rsid w:val="003B43D1"/>
    <w:rsid w:val="003B7305"/>
    <w:rsid w:val="003B7C80"/>
    <w:rsid w:val="003C0B46"/>
    <w:rsid w:val="003C4A49"/>
    <w:rsid w:val="003E20D9"/>
    <w:rsid w:val="003E698A"/>
    <w:rsid w:val="003E6B91"/>
    <w:rsid w:val="003F16B9"/>
    <w:rsid w:val="004053F5"/>
    <w:rsid w:val="00414631"/>
    <w:rsid w:val="004158C3"/>
    <w:rsid w:val="00424D9A"/>
    <w:rsid w:val="00425BE2"/>
    <w:rsid w:val="004332DE"/>
    <w:rsid w:val="00467738"/>
    <w:rsid w:val="0047412C"/>
    <w:rsid w:val="004757FB"/>
    <w:rsid w:val="0048038C"/>
    <w:rsid w:val="004B1B3A"/>
    <w:rsid w:val="004B3400"/>
    <w:rsid w:val="004B5B49"/>
    <w:rsid w:val="004E5BFE"/>
    <w:rsid w:val="004F54A3"/>
    <w:rsid w:val="004F5EF6"/>
    <w:rsid w:val="004F7EA0"/>
    <w:rsid w:val="00513E1E"/>
    <w:rsid w:val="00522038"/>
    <w:rsid w:val="005270D3"/>
    <w:rsid w:val="00527769"/>
    <w:rsid w:val="005277A1"/>
    <w:rsid w:val="00532DE0"/>
    <w:rsid w:val="00533DFF"/>
    <w:rsid w:val="0054011B"/>
    <w:rsid w:val="00541CE9"/>
    <w:rsid w:val="00543D33"/>
    <w:rsid w:val="00550FAF"/>
    <w:rsid w:val="00563777"/>
    <w:rsid w:val="00564A3D"/>
    <w:rsid w:val="00572B7B"/>
    <w:rsid w:val="00573AD8"/>
    <w:rsid w:val="00580E1E"/>
    <w:rsid w:val="00583B36"/>
    <w:rsid w:val="00586ECF"/>
    <w:rsid w:val="00592B43"/>
    <w:rsid w:val="005C1E76"/>
    <w:rsid w:val="005E22EB"/>
    <w:rsid w:val="00614ACE"/>
    <w:rsid w:val="00620B76"/>
    <w:rsid w:val="00624A66"/>
    <w:rsid w:val="006263D2"/>
    <w:rsid w:val="0062691E"/>
    <w:rsid w:val="00633A52"/>
    <w:rsid w:val="0065498F"/>
    <w:rsid w:val="006577ED"/>
    <w:rsid w:val="00661F5B"/>
    <w:rsid w:val="00663F1A"/>
    <w:rsid w:val="006659D8"/>
    <w:rsid w:val="006670A2"/>
    <w:rsid w:val="006743F9"/>
    <w:rsid w:val="006847C8"/>
    <w:rsid w:val="006A189E"/>
    <w:rsid w:val="006A64CA"/>
    <w:rsid w:val="006A7100"/>
    <w:rsid w:val="006B5D05"/>
    <w:rsid w:val="006B6903"/>
    <w:rsid w:val="006D66EA"/>
    <w:rsid w:val="00717DAA"/>
    <w:rsid w:val="007308A6"/>
    <w:rsid w:val="007365D6"/>
    <w:rsid w:val="0075068B"/>
    <w:rsid w:val="0076280F"/>
    <w:rsid w:val="00765E64"/>
    <w:rsid w:val="00767F37"/>
    <w:rsid w:val="007729FA"/>
    <w:rsid w:val="00776199"/>
    <w:rsid w:val="00776741"/>
    <w:rsid w:val="00787CB0"/>
    <w:rsid w:val="007C0EAD"/>
    <w:rsid w:val="007C0F62"/>
    <w:rsid w:val="007E082B"/>
    <w:rsid w:val="00800257"/>
    <w:rsid w:val="00815E8B"/>
    <w:rsid w:val="00820A5A"/>
    <w:rsid w:val="008233BF"/>
    <w:rsid w:val="00826E4D"/>
    <w:rsid w:val="008275FD"/>
    <w:rsid w:val="00827877"/>
    <w:rsid w:val="0084414B"/>
    <w:rsid w:val="00847513"/>
    <w:rsid w:val="00854009"/>
    <w:rsid w:val="00854DCF"/>
    <w:rsid w:val="00863E04"/>
    <w:rsid w:val="00872F5E"/>
    <w:rsid w:val="00873377"/>
    <w:rsid w:val="008758B1"/>
    <w:rsid w:val="0088014F"/>
    <w:rsid w:val="00883982"/>
    <w:rsid w:val="00883CFF"/>
    <w:rsid w:val="0089059A"/>
    <w:rsid w:val="00892243"/>
    <w:rsid w:val="00892B96"/>
    <w:rsid w:val="00894FC8"/>
    <w:rsid w:val="00895D14"/>
    <w:rsid w:val="00896701"/>
    <w:rsid w:val="008A7E68"/>
    <w:rsid w:val="008C64C3"/>
    <w:rsid w:val="008C7BFC"/>
    <w:rsid w:val="008D1F12"/>
    <w:rsid w:val="008D541E"/>
    <w:rsid w:val="008D6F16"/>
    <w:rsid w:val="008E41D3"/>
    <w:rsid w:val="008E6434"/>
    <w:rsid w:val="008E7C48"/>
    <w:rsid w:val="008F0300"/>
    <w:rsid w:val="008F4E54"/>
    <w:rsid w:val="0090228C"/>
    <w:rsid w:val="00903FA9"/>
    <w:rsid w:val="0090763B"/>
    <w:rsid w:val="00914CB6"/>
    <w:rsid w:val="0091516D"/>
    <w:rsid w:val="009205B4"/>
    <w:rsid w:val="009242C0"/>
    <w:rsid w:val="0093018B"/>
    <w:rsid w:val="009360C0"/>
    <w:rsid w:val="00955922"/>
    <w:rsid w:val="009772A8"/>
    <w:rsid w:val="009870C8"/>
    <w:rsid w:val="00992B6F"/>
    <w:rsid w:val="00993776"/>
    <w:rsid w:val="009952AD"/>
    <w:rsid w:val="009A3573"/>
    <w:rsid w:val="009C2EE8"/>
    <w:rsid w:val="009C35DD"/>
    <w:rsid w:val="009F1C53"/>
    <w:rsid w:val="00A10BBB"/>
    <w:rsid w:val="00A26CEF"/>
    <w:rsid w:val="00A270D1"/>
    <w:rsid w:val="00A3035C"/>
    <w:rsid w:val="00A3247B"/>
    <w:rsid w:val="00A36D0E"/>
    <w:rsid w:val="00A522AA"/>
    <w:rsid w:val="00A64DBF"/>
    <w:rsid w:val="00A7651E"/>
    <w:rsid w:val="00A803CB"/>
    <w:rsid w:val="00A87252"/>
    <w:rsid w:val="00A964DF"/>
    <w:rsid w:val="00A96B0A"/>
    <w:rsid w:val="00A96FB1"/>
    <w:rsid w:val="00AC02F2"/>
    <w:rsid w:val="00AC2FA8"/>
    <w:rsid w:val="00AD3E6A"/>
    <w:rsid w:val="00AD49B2"/>
    <w:rsid w:val="00AE4611"/>
    <w:rsid w:val="00AE529D"/>
    <w:rsid w:val="00AF6EEC"/>
    <w:rsid w:val="00B11E92"/>
    <w:rsid w:val="00B1591E"/>
    <w:rsid w:val="00B15C15"/>
    <w:rsid w:val="00B21FC8"/>
    <w:rsid w:val="00B301B5"/>
    <w:rsid w:val="00B31B4D"/>
    <w:rsid w:val="00B42693"/>
    <w:rsid w:val="00B47B44"/>
    <w:rsid w:val="00B50D49"/>
    <w:rsid w:val="00B5586F"/>
    <w:rsid w:val="00B647C1"/>
    <w:rsid w:val="00B65B51"/>
    <w:rsid w:val="00B72D02"/>
    <w:rsid w:val="00B74CCA"/>
    <w:rsid w:val="00B75112"/>
    <w:rsid w:val="00B85CF9"/>
    <w:rsid w:val="00BA56DB"/>
    <w:rsid w:val="00BC3EB7"/>
    <w:rsid w:val="00BD4C7A"/>
    <w:rsid w:val="00C0098C"/>
    <w:rsid w:val="00C07B7C"/>
    <w:rsid w:val="00C17127"/>
    <w:rsid w:val="00C20A10"/>
    <w:rsid w:val="00C274EA"/>
    <w:rsid w:val="00C33E50"/>
    <w:rsid w:val="00C3409C"/>
    <w:rsid w:val="00C3781A"/>
    <w:rsid w:val="00C41DF0"/>
    <w:rsid w:val="00C47F30"/>
    <w:rsid w:val="00C645C3"/>
    <w:rsid w:val="00C6576C"/>
    <w:rsid w:val="00C6686E"/>
    <w:rsid w:val="00C744BD"/>
    <w:rsid w:val="00C90816"/>
    <w:rsid w:val="00C94F19"/>
    <w:rsid w:val="00C95B66"/>
    <w:rsid w:val="00C979A6"/>
    <w:rsid w:val="00CA31CC"/>
    <w:rsid w:val="00CB1702"/>
    <w:rsid w:val="00CB3A78"/>
    <w:rsid w:val="00CB528E"/>
    <w:rsid w:val="00CD10F2"/>
    <w:rsid w:val="00CE2AB1"/>
    <w:rsid w:val="00CE365C"/>
    <w:rsid w:val="00CF6D05"/>
    <w:rsid w:val="00D15CE3"/>
    <w:rsid w:val="00D204B3"/>
    <w:rsid w:val="00D31CC7"/>
    <w:rsid w:val="00D4057A"/>
    <w:rsid w:val="00D43AB5"/>
    <w:rsid w:val="00D634E5"/>
    <w:rsid w:val="00D73A08"/>
    <w:rsid w:val="00D823C6"/>
    <w:rsid w:val="00D87252"/>
    <w:rsid w:val="00D90A86"/>
    <w:rsid w:val="00D94BDF"/>
    <w:rsid w:val="00DB7676"/>
    <w:rsid w:val="00DC21A5"/>
    <w:rsid w:val="00DD1D7A"/>
    <w:rsid w:val="00DD2383"/>
    <w:rsid w:val="00DE773A"/>
    <w:rsid w:val="00DE7D97"/>
    <w:rsid w:val="00DE7DF4"/>
    <w:rsid w:val="00E071FC"/>
    <w:rsid w:val="00E25AAE"/>
    <w:rsid w:val="00E3544C"/>
    <w:rsid w:val="00E421BC"/>
    <w:rsid w:val="00E61838"/>
    <w:rsid w:val="00E70A8E"/>
    <w:rsid w:val="00E74CFE"/>
    <w:rsid w:val="00E83685"/>
    <w:rsid w:val="00E863D0"/>
    <w:rsid w:val="00E90065"/>
    <w:rsid w:val="00E90C88"/>
    <w:rsid w:val="00ED3F0F"/>
    <w:rsid w:val="00EE462F"/>
    <w:rsid w:val="00EE4E69"/>
    <w:rsid w:val="00EF3ACE"/>
    <w:rsid w:val="00EF4927"/>
    <w:rsid w:val="00F16295"/>
    <w:rsid w:val="00F330F7"/>
    <w:rsid w:val="00F33DB5"/>
    <w:rsid w:val="00F40580"/>
    <w:rsid w:val="00F4154B"/>
    <w:rsid w:val="00F54525"/>
    <w:rsid w:val="00F62010"/>
    <w:rsid w:val="00F66205"/>
    <w:rsid w:val="00F8424C"/>
    <w:rsid w:val="00FA5978"/>
    <w:rsid w:val="00FB3874"/>
    <w:rsid w:val="00FB5B5A"/>
    <w:rsid w:val="00FC02B7"/>
    <w:rsid w:val="00FC358E"/>
    <w:rsid w:val="00FD37C0"/>
    <w:rsid w:val="00F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6119"/>
  <w15:chartTrackingRefBased/>
  <w15:docId w15:val="{2382DFA2-9A2D-4354-9E11-9FF152CC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CF9"/>
    <w:pPr>
      <w:spacing w:after="0" w:line="240" w:lineRule="auto"/>
    </w:pPr>
    <w:rPr>
      <w:rFonts w:ascii="TimesLT" w:eastAsia="Times New Roman" w:hAnsi="TimesLT" w:cs="Times New Roman"/>
      <w:sz w:val="24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922"/>
    <w:rPr>
      <w:color w:val="0000FF"/>
      <w:u w:val="single"/>
    </w:rPr>
  </w:style>
  <w:style w:type="paragraph" w:styleId="NoSpacing">
    <w:name w:val="No Spacing"/>
    <w:uiPriority w:val="1"/>
    <w:qFormat/>
    <w:rsid w:val="00522038"/>
    <w:pPr>
      <w:spacing w:after="0" w:line="240" w:lineRule="auto"/>
    </w:pPr>
    <w:rPr>
      <w:rFonts w:ascii="TimesLT" w:eastAsia="Times New Roman" w:hAnsi="TimesLT" w:cs="Times New Roman"/>
      <w:sz w:val="24"/>
      <w:szCs w:val="20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826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E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E4D"/>
    <w:rPr>
      <w:rFonts w:ascii="TimesLT" w:eastAsia="Times New Roman" w:hAnsi="TimesLT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E4D"/>
    <w:rPr>
      <w:rFonts w:ascii="TimesLT" w:eastAsia="Times New Roman" w:hAnsi="TimesLT" w:cs="Times New Roman"/>
      <w:b/>
      <w:bCs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E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4D"/>
    <w:rPr>
      <w:rFonts w:ascii="Segoe UI" w:eastAsia="Times New Roman" w:hAnsi="Segoe UI" w:cs="Segoe UI"/>
      <w:sz w:val="18"/>
      <w:szCs w:val="18"/>
      <w:lang w:eastAsia="lt-LT"/>
    </w:rPr>
  </w:style>
  <w:style w:type="paragraph" w:styleId="ListParagraph">
    <w:name w:val="List Paragraph"/>
    <w:aliases w:val="Bullet EY,ERP-List Paragraph,List Paragraph11,Numbering,List Paragraph Red,List Paragraph2,Paragraph,Table of contents numbered,List Paragraph21,Buletai,lp1,Bullet 1,Use Case List Paragraph,List Paragraph111,VARNELES,Primus H 3,Γράφημα,lp"/>
    <w:basedOn w:val="Normal"/>
    <w:link w:val="ListParagraphChar"/>
    <w:uiPriority w:val="34"/>
    <w:qFormat/>
    <w:rsid w:val="00F66205"/>
    <w:pPr>
      <w:ind w:left="720"/>
      <w:contextualSpacing/>
      <w:jc w:val="both"/>
    </w:pPr>
    <w:rPr>
      <w:rFonts w:ascii="Times New Roman" w:eastAsiaTheme="minorHAnsi" w:hAnsi="Times New Roman" w:cstheme="minorBidi"/>
      <w:szCs w:val="22"/>
      <w:lang w:eastAsia="en-US"/>
    </w:rPr>
  </w:style>
  <w:style w:type="table" w:styleId="TableGrid">
    <w:name w:val="Table Grid"/>
    <w:basedOn w:val="TableNormal"/>
    <w:uiPriority w:val="39"/>
    <w:rsid w:val="00F66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EY Char,ERP-List Paragraph Char,List Paragraph11 Char,Numbering Char,List Paragraph Red Char,List Paragraph2 Char,Paragraph Char,Table of contents numbered Char,List Paragraph21 Char,Buletai Char,lp1 Char,Bullet 1 Char,lp Char"/>
    <w:link w:val="ListParagraph"/>
    <w:uiPriority w:val="34"/>
    <w:qFormat/>
    <w:locked/>
    <w:rsid w:val="00B301B5"/>
    <w:rPr>
      <w:rFonts w:ascii="Times New Roman" w:hAnsi="Times New Roman"/>
      <w:sz w:val="24"/>
    </w:rPr>
  </w:style>
  <w:style w:type="paragraph" w:customStyle="1" w:styleId="Body">
    <w:name w:val="Body"/>
    <w:rsid w:val="006577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lt-LT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6577ED"/>
  </w:style>
  <w:style w:type="paragraph" w:customStyle="1" w:styleId="Heading">
    <w:name w:val="Heading"/>
    <w:next w:val="Body2"/>
    <w:rsid w:val="001B3E7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Times New Roman" w:eastAsia="Arial Unicode MS" w:hAnsi="Times New Roman" w:cs="Arial Unicode MS"/>
      <w:b/>
      <w:bCs/>
      <w:caps/>
      <w:color w:val="444444"/>
      <w:spacing w:val="4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rsid w:val="001B3E7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table" w:customStyle="1" w:styleId="TableGrid1">
    <w:name w:val="Table Grid1"/>
    <w:basedOn w:val="TableNormal"/>
    <w:next w:val="TableGrid"/>
    <w:rsid w:val="004B1B3A"/>
    <w:pPr>
      <w:spacing w:after="0" w:line="240" w:lineRule="auto"/>
    </w:pPr>
    <w:rPr>
      <w:rFonts w:ascii="Times New Roman" w:eastAsiaTheme="minorEastAsia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99"/>
    <w:rsid w:val="004B1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9952A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9952AD"/>
    <w:pPr>
      <w:spacing w:after="0" w:line="240" w:lineRule="auto"/>
    </w:pPr>
    <w:rPr>
      <w:rFonts w:ascii="Times New Roman" w:eastAsiaTheme="minorEastAsia"/>
      <w:sz w:val="20"/>
      <w:szCs w:val="20"/>
      <w14:ligatures w14:val="standardContextu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C3EB7"/>
    <w:rPr>
      <w:color w:val="605E5C"/>
      <w:shd w:val="clear" w:color="auto" w:fill="E1DFDD"/>
    </w:rPr>
  </w:style>
  <w:style w:type="table" w:customStyle="1" w:styleId="TableGrid31">
    <w:name w:val="Table Grid31"/>
    <w:basedOn w:val="TableNormal"/>
    <w:rsid w:val="002459EF"/>
    <w:pPr>
      <w:spacing w:after="0" w:line="240" w:lineRule="auto"/>
    </w:pPr>
    <w:rPr>
      <w:rFonts w:ascii="Times New Roman" w:eastAsiaTheme="minorEastAsia"/>
      <w:kern w:val="2"/>
      <w:sz w:val="20"/>
      <w:szCs w:val="20"/>
      <w14:ligatures w14:val="standardContextua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900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4B3"/>
    <w:pPr>
      <w:spacing w:after="0" w:line="240" w:lineRule="auto"/>
    </w:pPr>
    <w:rPr>
      <w:rFonts w:ascii="TimesLT" w:eastAsia="Times New Roman" w:hAnsi="TimesLT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D31CC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CC7"/>
    <w:rPr>
      <w:rFonts w:ascii="TimesLT" w:eastAsia="Times New Roman" w:hAnsi="TimesLT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D31CC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CC7"/>
    <w:rPr>
      <w:rFonts w:ascii="TimesLT" w:eastAsia="Times New Roman" w:hAnsi="TimesLT" w:cs="Times New Roman"/>
      <w:sz w:val="24"/>
      <w:szCs w:val="20"/>
      <w:lang w:eastAsia="lt-LT"/>
    </w:rPr>
  </w:style>
  <w:style w:type="table" w:customStyle="1" w:styleId="TableGrid4">
    <w:name w:val="Table Grid4"/>
    <w:basedOn w:val="TableNormal"/>
    <w:next w:val="TableGrid"/>
    <w:uiPriority w:val="39"/>
    <w:rsid w:val="002D5120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7497D387F6B6429C6C875C13A16331" ma:contentTypeVersion="18" ma:contentTypeDescription="Create a new document." ma:contentTypeScope="" ma:versionID="6648b5a2af8f5fc3b7b5fd21441b5800">
  <xsd:schema xmlns:xsd="http://www.w3.org/2001/XMLSchema" xmlns:xs="http://www.w3.org/2001/XMLSchema" xmlns:p="http://schemas.microsoft.com/office/2006/metadata/properties" xmlns:ns2="4045c56f-a9bc-4742-b0e0-3a1d4e953733" xmlns:ns3="8fa404b1-177b-4d73-a56e-d0f10734ab19" targetNamespace="http://schemas.microsoft.com/office/2006/metadata/properties" ma:root="true" ma:fieldsID="7d9428ec65c923ef3a4cacaf575e2c14" ns2:_="" ns3:_="">
    <xsd:import namespace="4045c56f-a9bc-4742-b0e0-3a1d4e953733"/>
    <xsd:import namespace="8fa404b1-177b-4d73-a56e-d0f10734a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5c56f-a9bc-4742-b0e0-3a1d4e9537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ec59d5-6d6d-489d-9b47-60393dc2f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404b1-177b-4d73-a56e-d0f10734a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547d92-3c54-421b-9e85-732dd6c7c1ea}" ma:internalName="TaxCatchAll" ma:showField="CatchAllData" ma:web="8fa404b1-177b-4d73-a56e-d0f10734ab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a404b1-177b-4d73-a56e-d0f10734ab19" xsi:nil="true"/>
    <lcf76f155ced4ddcb4097134ff3c332f xmlns="4045c56f-a9bc-4742-b0e0-3a1d4e95373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F142E-D0AA-4640-9345-306C4DEC9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45c56f-a9bc-4742-b0e0-3a1d4e953733"/>
    <ds:schemaRef ds:uri="8fa404b1-177b-4d73-a56e-d0f10734a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A49BB8-6B84-4EB3-90AF-90BA497E6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16728-5F26-443E-B0DE-6994DCBFF214}">
  <ds:schemaRefs>
    <ds:schemaRef ds:uri="http://schemas.microsoft.com/office/2006/metadata/properties"/>
    <ds:schemaRef ds:uri="http://schemas.microsoft.com/office/infopath/2007/PartnerControls"/>
    <ds:schemaRef ds:uri="8fa404b1-177b-4d73-a56e-d0f10734ab19"/>
    <ds:schemaRef ds:uri="4045c56f-a9bc-4742-b0e0-3a1d4e953733"/>
  </ds:schemaRefs>
</ds:datastoreItem>
</file>

<file path=customXml/itemProps4.xml><?xml version="1.0" encoding="utf-8"?>
<ds:datastoreItem xmlns:ds="http://schemas.openxmlformats.org/officeDocument/2006/customXml" ds:itemID="{8F5A5250-0870-467E-A913-D4A41299B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13813</Words>
  <Characters>7874</Characters>
  <Application>Microsoft Office Word</Application>
  <DocSecurity>0</DocSecurity>
  <Lines>65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Kalvaitienė</dc:creator>
  <cp:keywords/>
  <dc:description/>
  <cp:lastModifiedBy>Ina Kalvaitienė</cp:lastModifiedBy>
  <cp:revision>5</cp:revision>
  <dcterms:created xsi:type="dcterms:W3CDTF">2025-11-13T08:08:00Z</dcterms:created>
  <dcterms:modified xsi:type="dcterms:W3CDTF">2025-11-14T13:42:00Z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0x010100A27497D387F6B6429C6C875C13A16331</vt:lpwstr>
  </property>
  <property fmtid="{D5CDD505-2E9C-101B-9397-08002B2CF9AE}" pid="3" name="MediaServiceImageTags">
    <vt:lpwstr/>
  </property>
</Properties>
</file>